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54D1" w14:textId="77777777" w:rsidR="00FA649D" w:rsidRDefault="00FA649D" w:rsidP="00FA649D">
      <w:pPr>
        <w:pStyle w:val="Titre"/>
        <w:spacing w:before="960" w:after="960"/>
        <w:jc w:val="center"/>
      </w:pPr>
      <w:r>
        <w:t>COMMUNE DE LEGLISE</w:t>
      </w:r>
    </w:p>
    <w:p w14:paraId="51FEB622" w14:textId="77777777" w:rsidR="00FA649D" w:rsidRDefault="00FA649D" w:rsidP="00FA649D">
      <w:pPr>
        <w:pBdr>
          <w:top w:val="single" w:sz="12" w:space="1" w:color="auto"/>
          <w:left w:val="single" w:sz="12" w:space="4" w:color="auto"/>
          <w:bottom w:val="single" w:sz="12" w:space="1" w:color="auto"/>
          <w:right w:val="single" w:sz="12" w:space="4" w:color="auto"/>
        </w:pBdr>
        <w:shd w:val="pct10" w:color="auto" w:fill="auto"/>
        <w:spacing w:before="0" w:after="0"/>
        <w:jc w:val="center"/>
      </w:pPr>
    </w:p>
    <w:p w14:paraId="339E18E2" w14:textId="77777777" w:rsidR="00FA649D" w:rsidRDefault="00FA649D" w:rsidP="00FA649D">
      <w:pPr>
        <w:pBdr>
          <w:top w:val="single" w:sz="12" w:space="1" w:color="auto"/>
          <w:left w:val="single" w:sz="12" w:space="4" w:color="auto"/>
          <w:bottom w:val="single" w:sz="12" w:space="1" w:color="auto"/>
          <w:right w:val="single" w:sz="12" w:space="4" w:color="auto"/>
        </w:pBdr>
        <w:shd w:val="pct10" w:color="000000" w:fill="FFFFFF"/>
        <w:jc w:val="center"/>
        <w:rPr>
          <w:b/>
          <w:sz w:val="48"/>
        </w:rPr>
      </w:pPr>
      <w:r>
        <w:rPr>
          <w:b/>
          <w:sz w:val="48"/>
        </w:rPr>
        <w:t>Cahier des Charges pour la Location du Droit de Chasse en Forêt communale</w:t>
      </w:r>
    </w:p>
    <w:p w14:paraId="532D6A78" w14:textId="77777777" w:rsidR="00FA649D" w:rsidRDefault="00FA649D" w:rsidP="00FA649D">
      <w:pPr>
        <w:pBdr>
          <w:top w:val="single" w:sz="12" w:space="1" w:color="auto"/>
          <w:left w:val="single" w:sz="12" w:space="4" w:color="auto"/>
          <w:bottom w:val="single" w:sz="12" w:space="1" w:color="auto"/>
          <w:right w:val="single" w:sz="12" w:space="4" w:color="auto"/>
        </w:pBdr>
        <w:shd w:val="pct10" w:color="auto" w:fill="auto"/>
        <w:spacing w:before="0" w:after="0"/>
        <w:jc w:val="center"/>
      </w:pPr>
    </w:p>
    <w:p w14:paraId="105A6BAB" w14:textId="77777777" w:rsidR="00FA649D" w:rsidRDefault="00FA649D" w:rsidP="00FA649D">
      <w:pPr>
        <w:spacing w:before="0" w:after="0"/>
        <w:rPr>
          <w:sz w:val="22"/>
        </w:rPr>
      </w:pPr>
    </w:p>
    <w:p w14:paraId="77E12C13" w14:textId="77777777" w:rsidR="00FA649D" w:rsidRDefault="00FA649D" w:rsidP="00FA649D">
      <w:pPr>
        <w:spacing w:before="0" w:after="0"/>
        <w:rPr>
          <w:sz w:val="22"/>
        </w:rPr>
      </w:pPr>
    </w:p>
    <w:p w14:paraId="1464D482" w14:textId="77777777" w:rsidR="00FA649D" w:rsidRDefault="00FA649D" w:rsidP="00FA649D">
      <w:pPr>
        <w:spacing w:before="0" w:after="0"/>
        <w:rPr>
          <w:sz w:val="22"/>
        </w:rPr>
      </w:pPr>
    </w:p>
    <w:tbl>
      <w:tblPr>
        <w:tblW w:w="0" w:type="auto"/>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35"/>
        <w:gridCol w:w="5812"/>
      </w:tblGrid>
      <w:tr w:rsidR="00FA649D" w14:paraId="3FC7658C" w14:textId="77777777" w:rsidTr="000E7EA4">
        <w:tc>
          <w:tcPr>
            <w:tcW w:w="2835" w:type="dxa"/>
          </w:tcPr>
          <w:p w14:paraId="7B393F96" w14:textId="77777777" w:rsidR="00FA649D" w:rsidRDefault="00FA649D" w:rsidP="000E7EA4">
            <w:pPr>
              <w:spacing w:before="120" w:after="120"/>
              <w:rPr>
                <w:b/>
                <w:sz w:val="24"/>
              </w:rPr>
            </w:pPr>
            <w:r>
              <w:rPr>
                <w:b/>
                <w:sz w:val="24"/>
              </w:rPr>
              <w:t xml:space="preserve"> </w:t>
            </w:r>
            <w:r>
              <w:rPr>
                <w:b/>
                <w:sz w:val="24"/>
                <w:u w:val="single"/>
              </w:rPr>
              <w:t>Forêt communale</w:t>
            </w:r>
            <w:r>
              <w:rPr>
                <w:b/>
                <w:sz w:val="24"/>
              </w:rPr>
              <w:t> :</w:t>
            </w:r>
          </w:p>
        </w:tc>
        <w:tc>
          <w:tcPr>
            <w:tcW w:w="5812" w:type="dxa"/>
          </w:tcPr>
          <w:p w14:paraId="5E495ED1" w14:textId="77777777" w:rsidR="00FA649D" w:rsidRDefault="00FA649D" w:rsidP="000E7EA4">
            <w:pPr>
              <w:spacing w:before="120" w:after="120"/>
              <w:rPr>
                <w:i/>
                <w:sz w:val="24"/>
              </w:rPr>
            </w:pPr>
            <w:r>
              <w:rPr>
                <w:i/>
                <w:sz w:val="24"/>
              </w:rPr>
              <w:t>Léglise</w:t>
            </w:r>
          </w:p>
        </w:tc>
      </w:tr>
      <w:tr w:rsidR="00FA649D" w14:paraId="4831A9F5" w14:textId="77777777" w:rsidTr="000E7EA4">
        <w:tc>
          <w:tcPr>
            <w:tcW w:w="2835" w:type="dxa"/>
          </w:tcPr>
          <w:p w14:paraId="5F8F7BBB" w14:textId="77777777" w:rsidR="00FA649D" w:rsidRDefault="00FA649D" w:rsidP="000E7EA4">
            <w:pPr>
              <w:spacing w:before="120" w:after="120"/>
              <w:rPr>
                <w:b/>
                <w:sz w:val="24"/>
              </w:rPr>
            </w:pPr>
            <w:r>
              <w:rPr>
                <w:b/>
                <w:sz w:val="24"/>
              </w:rPr>
              <w:t xml:space="preserve"> </w:t>
            </w:r>
            <w:r>
              <w:rPr>
                <w:b/>
                <w:sz w:val="24"/>
                <w:u w:val="single"/>
              </w:rPr>
              <w:t>Situation</w:t>
            </w:r>
            <w:r>
              <w:rPr>
                <w:b/>
                <w:sz w:val="24"/>
              </w:rPr>
              <w:t> :</w:t>
            </w:r>
          </w:p>
        </w:tc>
        <w:tc>
          <w:tcPr>
            <w:tcW w:w="5812" w:type="dxa"/>
          </w:tcPr>
          <w:p w14:paraId="1E8AA6E7" w14:textId="77777777" w:rsidR="00FA649D" w:rsidRDefault="00FA649D" w:rsidP="000E7EA4">
            <w:pPr>
              <w:spacing w:before="120" w:after="120"/>
              <w:rPr>
                <w:i/>
                <w:sz w:val="24"/>
              </w:rPr>
            </w:pPr>
          </w:p>
        </w:tc>
      </w:tr>
    </w:tbl>
    <w:p w14:paraId="34520521" w14:textId="77777777" w:rsidR="00FA649D" w:rsidRDefault="00FA649D" w:rsidP="00FA649D">
      <w:pPr>
        <w:tabs>
          <w:tab w:val="left" w:pos="3189"/>
          <w:tab w:val="left" w:pos="9001"/>
        </w:tabs>
        <w:spacing w:before="120" w:after="120"/>
        <w:ind w:left="354"/>
        <w:jc w:val="left"/>
        <w:rPr>
          <w:sz w:val="24"/>
        </w:rPr>
      </w:pPr>
    </w:p>
    <w:tbl>
      <w:tblPr>
        <w:tblW w:w="0" w:type="auto"/>
        <w:tblInd w:w="35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35"/>
        <w:gridCol w:w="5812"/>
      </w:tblGrid>
      <w:tr w:rsidR="00FA649D" w14:paraId="4404DAD3" w14:textId="77777777" w:rsidTr="000E7EA4">
        <w:tc>
          <w:tcPr>
            <w:tcW w:w="2835" w:type="dxa"/>
          </w:tcPr>
          <w:p w14:paraId="499B96C2" w14:textId="77777777" w:rsidR="00FA649D" w:rsidRDefault="00FA649D" w:rsidP="000E7EA4">
            <w:pPr>
              <w:spacing w:before="60" w:after="60"/>
              <w:rPr>
                <w:b/>
                <w:sz w:val="24"/>
              </w:rPr>
            </w:pPr>
            <w:r>
              <w:rPr>
                <w:b/>
                <w:sz w:val="24"/>
              </w:rPr>
              <w:t xml:space="preserve"> </w:t>
            </w:r>
            <w:r>
              <w:rPr>
                <w:b/>
                <w:sz w:val="24"/>
                <w:u w:val="single"/>
              </w:rPr>
              <w:t>Direction de</w:t>
            </w:r>
            <w:r>
              <w:rPr>
                <w:b/>
                <w:sz w:val="24"/>
              </w:rPr>
              <w:t> :</w:t>
            </w:r>
          </w:p>
        </w:tc>
        <w:tc>
          <w:tcPr>
            <w:tcW w:w="5812" w:type="dxa"/>
          </w:tcPr>
          <w:p w14:paraId="70F36D29" w14:textId="77777777" w:rsidR="00FA649D" w:rsidRDefault="00FA649D" w:rsidP="000E7EA4">
            <w:pPr>
              <w:spacing w:before="60" w:after="60"/>
              <w:rPr>
                <w:i/>
                <w:sz w:val="24"/>
              </w:rPr>
            </w:pPr>
            <w:r>
              <w:rPr>
                <w:i/>
                <w:sz w:val="24"/>
              </w:rPr>
              <w:t>Arlon</w:t>
            </w:r>
          </w:p>
          <w:p w14:paraId="45AFB22F" w14:textId="77777777" w:rsidR="00FA649D" w:rsidRDefault="00FA649D" w:rsidP="000E7EA4">
            <w:pPr>
              <w:spacing w:before="60" w:after="60"/>
              <w:rPr>
                <w:i/>
                <w:sz w:val="24"/>
              </w:rPr>
            </w:pPr>
            <w:r>
              <w:rPr>
                <w:i/>
                <w:sz w:val="24"/>
              </w:rPr>
              <w:t>Place Didier, 45 – B 6700 ARLON</w:t>
            </w:r>
          </w:p>
          <w:p w14:paraId="00538B52" w14:textId="77777777" w:rsidR="00FA649D" w:rsidRDefault="00FA649D" w:rsidP="000E7EA4">
            <w:pPr>
              <w:spacing w:before="60" w:after="60"/>
              <w:rPr>
                <w:i/>
                <w:sz w:val="24"/>
              </w:rPr>
            </w:pPr>
            <w:r>
              <w:rPr>
                <w:i/>
                <w:sz w:val="24"/>
              </w:rPr>
              <w:t>Tél. : +32 63 589163 – Fax : +32 63 589155</w:t>
            </w:r>
          </w:p>
          <w:p w14:paraId="20147EE4" w14:textId="77777777" w:rsidR="00FA649D" w:rsidRDefault="00FA649D" w:rsidP="000E7EA4">
            <w:pPr>
              <w:spacing w:before="60" w:after="60"/>
              <w:rPr>
                <w:i/>
                <w:sz w:val="24"/>
              </w:rPr>
            </w:pPr>
            <w:r>
              <w:rPr>
                <w:i/>
                <w:sz w:val="24"/>
              </w:rPr>
              <w:t xml:space="preserve">Mail : </w:t>
            </w:r>
            <w:hyperlink r:id="rId7" w:history="1">
              <w:r>
                <w:rPr>
                  <w:rStyle w:val="Lienhypertexte"/>
                </w:rPr>
                <w:t>arlon.dnf.dgrne@mrw.wallonie.be</w:t>
              </w:r>
            </w:hyperlink>
            <w:r>
              <w:rPr>
                <w:i/>
                <w:sz w:val="24"/>
              </w:rPr>
              <w:t xml:space="preserve"> </w:t>
            </w:r>
          </w:p>
          <w:p w14:paraId="4D54A9D9" w14:textId="77777777" w:rsidR="00FA649D" w:rsidRDefault="00FA649D" w:rsidP="000E7EA4">
            <w:pPr>
              <w:spacing w:before="60" w:after="60"/>
              <w:rPr>
                <w:i/>
                <w:sz w:val="24"/>
              </w:rPr>
            </w:pPr>
            <w:r>
              <w:rPr>
                <w:b/>
                <w:sz w:val="24"/>
              </w:rPr>
              <w:t>Directeur de Centre</w:t>
            </w:r>
            <w:r>
              <w:rPr>
                <w:i/>
                <w:sz w:val="24"/>
              </w:rPr>
              <w:t> : Jean-Francois Plumier</w:t>
            </w:r>
          </w:p>
        </w:tc>
      </w:tr>
    </w:tbl>
    <w:p w14:paraId="094BA733" w14:textId="77777777" w:rsidR="00FA649D" w:rsidRDefault="00FA649D" w:rsidP="00FA649D">
      <w:pPr>
        <w:pBdr>
          <w:top w:val="single" w:sz="4" w:space="1" w:color="auto"/>
          <w:bottom w:val="single" w:sz="4" w:space="1" w:color="auto"/>
        </w:pBdr>
        <w:rPr>
          <w:b/>
          <w:sz w:val="28"/>
        </w:rPr>
        <w:sectPr w:rsidR="00FA649D" w:rsidSect="00FA649D">
          <w:footerReference w:type="even" r:id="rId8"/>
          <w:pgSz w:w="11906" w:h="16838"/>
          <w:pgMar w:top="851" w:right="1418" w:bottom="851" w:left="1418" w:header="720" w:footer="720" w:gutter="0"/>
          <w:pgBorders w:offsetFrom="page">
            <w:top w:val="single" w:sz="8" w:space="24" w:color="auto"/>
            <w:left w:val="single" w:sz="8" w:space="24" w:color="auto"/>
            <w:bottom w:val="single" w:sz="8" w:space="24" w:color="auto"/>
            <w:right w:val="single" w:sz="8" w:space="24" w:color="auto"/>
          </w:pgBorders>
          <w:pgNumType w:start="1"/>
          <w:cols w:space="720"/>
        </w:sectPr>
      </w:pPr>
    </w:p>
    <w:p w14:paraId="3659FB23" w14:textId="77777777" w:rsidR="00FA649D" w:rsidRPr="000E7EA4" w:rsidRDefault="00FA649D" w:rsidP="00FA649D"/>
    <w:p w14:paraId="35043C9E" w14:textId="77777777" w:rsidR="00FA649D" w:rsidRPr="00CC4771" w:rsidRDefault="00FA649D" w:rsidP="00FA649D">
      <w:pPr>
        <w:pStyle w:val="Chapitre"/>
        <w:numPr>
          <w:ilvl w:val="0"/>
          <w:numId w:val="0"/>
        </w:numPr>
        <w:pBdr>
          <w:left w:val="single" w:sz="4" w:space="4" w:color="auto"/>
          <w:right w:val="single" w:sz="4" w:space="4" w:color="auto"/>
        </w:pBdr>
      </w:pPr>
      <w:r w:rsidRPr="00CC4771">
        <w:t>TABLE DES MATIERES</w:t>
      </w:r>
    </w:p>
    <w:p w14:paraId="7E963723" w14:textId="77777777" w:rsidR="00FA649D" w:rsidRDefault="00FA649D" w:rsidP="00FA649D">
      <w:pPr>
        <w:rPr>
          <w:sz w:val="22"/>
        </w:rPr>
      </w:pPr>
    </w:p>
    <w:tbl>
      <w:tblPr>
        <w:tblW w:w="0" w:type="auto"/>
        <w:tblLayout w:type="fixed"/>
        <w:tblCellMar>
          <w:left w:w="70" w:type="dxa"/>
          <w:right w:w="70" w:type="dxa"/>
        </w:tblCellMar>
        <w:tblLook w:val="0000" w:firstRow="0" w:lastRow="0" w:firstColumn="0" w:lastColumn="0" w:noHBand="0" w:noVBand="0"/>
      </w:tblPr>
      <w:tblGrid>
        <w:gridCol w:w="1488"/>
        <w:gridCol w:w="7722"/>
      </w:tblGrid>
      <w:tr w:rsidR="00FA649D" w14:paraId="77ADD3D7" w14:textId="77777777" w:rsidTr="000E7EA4">
        <w:trPr>
          <w:cantSplit/>
        </w:trPr>
        <w:tc>
          <w:tcPr>
            <w:tcW w:w="9210" w:type="dxa"/>
            <w:gridSpan w:val="2"/>
          </w:tcPr>
          <w:p w14:paraId="63CE2D54" w14:textId="77777777" w:rsidR="00FA649D" w:rsidRDefault="00FA649D" w:rsidP="000E7EA4">
            <w:pPr>
              <w:spacing w:before="60" w:after="60"/>
              <w:jc w:val="center"/>
              <w:rPr>
                <w:b/>
                <w:sz w:val="24"/>
                <w:u w:val="single"/>
              </w:rPr>
            </w:pPr>
            <w:r>
              <w:rPr>
                <w:b/>
                <w:sz w:val="24"/>
                <w:u w:val="single"/>
              </w:rPr>
              <w:t>Chapitre 1</w:t>
            </w:r>
            <w:r>
              <w:rPr>
                <w:b/>
                <w:sz w:val="24"/>
                <w:u w:val="single"/>
                <w:vertAlign w:val="superscript"/>
              </w:rPr>
              <w:t>er</w:t>
            </w:r>
            <w:r>
              <w:rPr>
                <w:b/>
                <w:sz w:val="24"/>
                <w:u w:val="single"/>
              </w:rPr>
              <w:t xml:space="preserve"> - Dispositions générales</w:t>
            </w:r>
          </w:p>
        </w:tc>
      </w:tr>
      <w:tr w:rsidR="00FA649D" w14:paraId="79A3DE81" w14:textId="77777777" w:rsidTr="000E7EA4">
        <w:tc>
          <w:tcPr>
            <w:tcW w:w="1488" w:type="dxa"/>
          </w:tcPr>
          <w:p w14:paraId="62A4E79F" w14:textId="77777777" w:rsidR="00FA649D" w:rsidRDefault="00FA649D" w:rsidP="000E7EA4">
            <w:pPr>
              <w:spacing w:before="60" w:after="60"/>
              <w:rPr>
                <w:b/>
              </w:rPr>
            </w:pPr>
            <w:r>
              <w:rPr>
                <w:b/>
              </w:rPr>
              <w:t>Article 1</w:t>
            </w:r>
          </w:p>
        </w:tc>
        <w:tc>
          <w:tcPr>
            <w:tcW w:w="7722" w:type="dxa"/>
          </w:tcPr>
          <w:p w14:paraId="6B56BD2A" w14:textId="77777777" w:rsidR="00FA649D" w:rsidRDefault="00FA649D" w:rsidP="000E7EA4">
            <w:pPr>
              <w:spacing w:before="60" w:after="60"/>
            </w:pPr>
            <w:r>
              <w:t>Cadre général</w:t>
            </w:r>
          </w:p>
        </w:tc>
      </w:tr>
      <w:tr w:rsidR="00FA649D" w14:paraId="68D71A25" w14:textId="77777777" w:rsidTr="000E7EA4">
        <w:tc>
          <w:tcPr>
            <w:tcW w:w="1488" w:type="dxa"/>
          </w:tcPr>
          <w:p w14:paraId="1E9BEA95" w14:textId="77777777" w:rsidR="00FA649D" w:rsidRDefault="00FA649D" w:rsidP="000E7EA4">
            <w:pPr>
              <w:spacing w:before="60" w:after="60"/>
              <w:rPr>
                <w:b/>
              </w:rPr>
            </w:pPr>
            <w:r>
              <w:rPr>
                <w:b/>
              </w:rPr>
              <w:t>Article 2</w:t>
            </w:r>
          </w:p>
        </w:tc>
        <w:tc>
          <w:tcPr>
            <w:tcW w:w="7722" w:type="dxa"/>
          </w:tcPr>
          <w:p w14:paraId="5E83295F" w14:textId="77777777" w:rsidR="00FA649D" w:rsidRDefault="00FA649D" w:rsidP="000E7EA4">
            <w:pPr>
              <w:spacing w:before="60" w:after="60"/>
            </w:pPr>
            <w:r>
              <w:t>Clauses générales et particulières du cahier des charges</w:t>
            </w:r>
          </w:p>
        </w:tc>
      </w:tr>
      <w:tr w:rsidR="00FA649D" w14:paraId="63727DD4" w14:textId="77777777" w:rsidTr="000E7EA4">
        <w:tc>
          <w:tcPr>
            <w:tcW w:w="1488" w:type="dxa"/>
          </w:tcPr>
          <w:p w14:paraId="1F12E837" w14:textId="77777777" w:rsidR="00FA649D" w:rsidRDefault="00FA649D" w:rsidP="000E7EA4">
            <w:pPr>
              <w:spacing w:before="60" w:after="60"/>
              <w:rPr>
                <w:b/>
              </w:rPr>
            </w:pPr>
            <w:r>
              <w:rPr>
                <w:b/>
              </w:rPr>
              <w:t>Article 3</w:t>
            </w:r>
          </w:p>
        </w:tc>
        <w:tc>
          <w:tcPr>
            <w:tcW w:w="7722" w:type="dxa"/>
          </w:tcPr>
          <w:p w14:paraId="3363599A" w14:textId="77777777" w:rsidR="00FA649D" w:rsidRDefault="00FA649D" w:rsidP="000E7EA4">
            <w:pPr>
              <w:spacing w:before="60" w:after="60"/>
            </w:pPr>
            <w:r>
              <w:t>Présomption de connaissance</w:t>
            </w:r>
          </w:p>
          <w:p w14:paraId="057137B3" w14:textId="77777777" w:rsidR="00FA649D" w:rsidRDefault="00FA649D" w:rsidP="000E7EA4">
            <w:pPr>
              <w:spacing w:before="60" w:after="60"/>
            </w:pPr>
          </w:p>
        </w:tc>
      </w:tr>
      <w:tr w:rsidR="00FA649D" w14:paraId="7D1D3383" w14:textId="77777777" w:rsidTr="000E7EA4">
        <w:trPr>
          <w:cantSplit/>
        </w:trPr>
        <w:tc>
          <w:tcPr>
            <w:tcW w:w="9210" w:type="dxa"/>
            <w:gridSpan w:val="2"/>
          </w:tcPr>
          <w:p w14:paraId="3A5229DF" w14:textId="77777777" w:rsidR="00FA649D" w:rsidRDefault="00FA649D" w:rsidP="000E7EA4">
            <w:pPr>
              <w:spacing w:before="60" w:after="60"/>
              <w:jc w:val="center"/>
              <w:rPr>
                <w:b/>
                <w:sz w:val="24"/>
                <w:u w:val="single"/>
              </w:rPr>
            </w:pPr>
            <w:r>
              <w:rPr>
                <w:b/>
                <w:sz w:val="24"/>
                <w:u w:val="single"/>
              </w:rPr>
              <w:t>Chapitre II - Dispositions administratives</w:t>
            </w:r>
          </w:p>
        </w:tc>
      </w:tr>
      <w:tr w:rsidR="00FA649D" w14:paraId="7096A6E2" w14:textId="77777777" w:rsidTr="000E7EA4">
        <w:tc>
          <w:tcPr>
            <w:tcW w:w="1488" w:type="dxa"/>
          </w:tcPr>
          <w:p w14:paraId="644E312F" w14:textId="77777777" w:rsidR="00FA649D" w:rsidRDefault="00FA649D" w:rsidP="000E7EA4">
            <w:pPr>
              <w:spacing w:before="60" w:after="60"/>
              <w:rPr>
                <w:b/>
              </w:rPr>
            </w:pPr>
            <w:r>
              <w:rPr>
                <w:b/>
              </w:rPr>
              <w:t>Article 4</w:t>
            </w:r>
          </w:p>
        </w:tc>
        <w:tc>
          <w:tcPr>
            <w:tcW w:w="7722" w:type="dxa"/>
          </w:tcPr>
          <w:p w14:paraId="26C1B703" w14:textId="77777777" w:rsidR="00FA649D" w:rsidRDefault="00FA649D" w:rsidP="000E7EA4">
            <w:pPr>
              <w:spacing w:before="60" w:after="60"/>
            </w:pPr>
            <w:r>
              <w:t>Objet de la location</w:t>
            </w:r>
          </w:p>
        </w:tc>
      </w:tr>
      <w:tr w:rsidR="00FA649D" w14:paraId="1807C9B4" w14:textId="77777777" w:rsidTr="000E7EA4">
        <w:tc>
          <w:tcPr>
            <w:tcW w:w="1488" w:type="dxa"/>
          </w:tcPr>
          <w:p w14:paraId="5E8D202A" w14:textId="77777777" w:rsidR="00FA649D" w:rsidRDefault="00FA649D" w:rsidP="000E7EA4">
            <w:pPr>
              <w:spacing w:before="60" w:after="60"/>
              <w:rPr>
                <w:b/>
              </w:rPr>
            </w:pPr>
            <w:r>
              <w:rPr>
                <w:b/>
              </w:rPr>
              <w:t>Article 5</w:t>
            </w:r>
          </w:p>
        </w:tc>
        <w:tc>
          <w:tcPr>
            <w:tcW w:w="7722" w:type="dxa"/>
          </w:tcPr>
          <w:p w14:paraId="6717D308" w14:textId="77777777" w:rsidR="00FA649D" w:rsidRDefault="00FA649D" w:rsidP="000E7EA4">
            <w:pPr>
              <w:spacing w:before="60" w:after="60"/>
            </w:pPr>
            <w:r>
              <w:t>Durée du bail</w:t>
            </w:r>
          </w:p>
        </w:tc>
      </w:tr>
      <w:tr w:rsidR="00FA649D" w14:paraId="3385C1E4" w14:textId="77777777" w:rsidTr="000E7EA4">
        <w:tc>
          <w:tcPr>
            <w:tcW w:w="1488" w:type="dxa"/>
          </w:tcPr>
          <w:p w14:paraId="7DD1B22A" w14:textId="77777777" w:rsidR="00FA649D" w:rsidRDefault="00FA649D" w:rsidP="000E7EA4">
            <w:pPr>
              <w:spacing w:before="60" w:after="60"/>
              <w:rPr>
                <w:b/>
              </w:rPr>
            </w:pPr>
            <w:r>
              <w:rPr>
                <w:b/>
              </w:rPr>
              <w:t>Article 6</w:t>
            </w:r>
          </w:p>
        </w:tc>
        <w:tc>
          <w:tcPr>
            <w:tcW w:w="7722" w:type="dxa"/>
          </w:tcPr>
          <w:p w14:paraId="70ACE2CD" w14:textId="77777777" w:rsidR="00FA649D" w:rsidRDefault="00FA649D" w:rsidP="000E7EA4">
            <w:pPr>
              <w:spacing w:before="60" w:after="60"/>
            </w:pPr>
            <w:r>
              <w:t>Mandataire</w:t>
            </w:r>
          </w:p>
        </w:tc>
      </w:tr>
      <w:tr w:rsidR="00FA649D" w14:paraId="3078BD74" w14:textId="77777777" w:rsidTr="000E7EA4">
        <w:tc>
          <w:tcPr>
            <w:tcW w:w="1488" w:type="dxa"/>
          </w:tcPr>
          <w:p w14:paraId="2D6C2591" w14:textId="77777777" w:rsidR="00FA649D" w:rsidRDefault="00FA649D" w:rsidP="000E7EA4">
            <w:pPr>
              <w:spacing w:before="60" w:after="60"/>
              <w:rPr>
                <w:b/>
              </w:rPr>
            </w:pPr>
            <w:r>
              <w:rPr>
                <w:b/>
              </w:rPr>
              <w:t>Article 7</w:t>
            </w:r>
          </w:p>
        </w:tc>
        <w:tc>
          <w:tcPr>
            <w:tcW w:w="7722" w:type="dxa"/>
          </w:tcPr>
          <w:p w14:paraId="28E9E812" w14:textId="77777777" w:rsidR="00FA649D" w:rsidRDefault="00FA649D" w:rsidP="000E7EA4">
            <w:pPr>
              <w:spacing w:before="60" w:after="60"/>
            </w:pPr>
            <w:r>
              <w:t>Conditions à remplir pour pouvoir être locataire du droit de chasse</w:t>
            </w:r>
          </w:p>
        </w:tc>
      </w:tr>
      <w:tr w:rsidR="00FA649D" w14:paraId="55304B72" w14:textId="77777777" w:rsidTr="000E7EA4">
        <w:tc>
          <w:tcPr>
            <w:tcW w:w="1488" w:type="dxa"/>
          </w:tcPr>
          <w:p w14:paraId="2308C67C" w14:textId="77777777" w:rsidR="00FA649D" w:rsidRDefault="00FA649D" w:rsidP="000E7EA4">
            <w:pPr>
              <w:spacing w:before="60" w:after="60"/>
              <w:rPr>
                <w:b/>
              </w:rPr>
            </w:pPr>
            <w:r>
              <w:rPr>
                <w:b/>
              </w:rPr>
              <w:t>Article 8</w:t>
            </w:r>
          </w:p>
        </w:tc>
        <w:tc>
          <w:tcPr>
            <w:tcW w:w="7722" w:type="dxa"/>
          </w:tcPr>
          <w:p w14:paraId="22B3577E" w14:textId="77777777" w:rsidR="00FA649D" w:rsidRDefault="00FA649D" w:rsidP="000E7EA4">
            <w:pPr>
              <w:spacing w:before="60" w:after="60"/>
            </w:pPr>
            <w:r>
              <w:t>Procédure de location</w:t>
            </w:r>
          </w:p>
        </w:tc>
      </w:tr>
      <w:tr w:rsidR="00FA649D" w14:paraId="17C5E675" w14:textId="77777777" w:rsidTr="000E7EA4">
        <w:tc>
          <w:tcPr>
            <w:tcW w:w="1488" w:type="dxa"/>
          </w:tcPr>
          <w:p w14:paraId="38CB49FA" w14:textId="77777777" w:rsidR="00FA649D" w:rsidRDefault="00FA649D" w:rsidP="000E7EA4">
            <w:pPr>
              <w:spacing w:before="60" w:after="60"/>
              <w:rPr>
                <w:b/>
              </w:rPr>
            </w:pPr>
            <w:r>
              <w:rPr>
                <w:b/>
              </w:rPr>
              <w:t>Article 9</w:t>
            </w:r>
          </w:p>
        </w:tc>
        <w:tc>
          <w:tcPr>
            <w:tcW w:w="7722" w:type="dxa"/>
          </w:tcPr>
          <w:p w14:paraId="69E1D56F" w14:textId="77777777" w:rsidR="00FA649D" w:rsidRDefault="00FA649D" w:rsidP="000E7EA4">
            <w:pPr>
              <w:spacing w:before="60" w:after="60"/>
            </w:pPr>
            <w:r>
              <w:t>Associés</w:t>
            </w:r>
          </w:p>
        </w:tc>
      </w:tr>
      <w:tr w:rsidR="00FA649D" w14:paraId="3C683690" w14:textId="77777777" w:rsidTr="000E7EA4">
        <w:tc>
          <w:tcPr>
            <w:tcW w:w="1488" w:type="dxa"/>
          </w:tcPr>
          <w:p w14:paraId="1E26D5E5" w14:textId="77777777" w:rsidR="00FA649D" w:rsidRDefault="00FA649D" w:rsidP="000E7EA4">
            <w:pPr>
              <w:spacing w:before="60" w:after="60"/>
              <w:rPr>
                <w:b/>
              </w:rPr>
            </w:pPr>
            <w:r>
              <w:rPr>
                <w:b/>
              </w:rPr>
              <w:t>Article 10</w:t>
            </w:r>
          </w:p>
        </w:tc>
        <w:tc>
          <w:tcPr>
            <w:tcW w:w="7722" w:type="dxa"/>
          </w:tcPr>
          <w:p w14:paraId="52E87F4B" w14:textId="77777777" w:rsidR="00FA649D" w:rsidRDefault="00FA649D" w:rsidP="000E7EA4">
            <w:pPr>
              <w:spacing w:before="60" w:after="60"/>
            </w:pPr>
            <w:r>
              <w:t>Domicile</w:t>
            </w:r>
          </w:p>
        </w:tc>
      </w:tr>
      <w:tr w:rsidR="00FA649D" w14:paraId="3EB6D480" w14:textId="77777777" w:rsidTr="000E7EA4">
        <w:tc>
          <w:tcPr>
            <w:tcW w:w="1488" w:type="dxa"/>
          </w:tcPr>
          <w:p w14:paraId="050215BF" w14:textId="77777777" w:rsidR="00FA649D" w:rsidRDefault="00FA649D" w:rsidP="000E7EA4">
            <w:pPr>
              <w:spacing w:before="60" w:after="60"/>
              <w:rPr>
                <w:b/>
              </w:rPr>
            </w:pPr>
            <w:r>
              <w:rPr>
                <w:b/>
              </w:rPr>
              <w:t>Article 11</w:t>
            </w:r>
          </w:p>
        </w:tc>
        <w:tc>
          <w:tcPr>
            <w:tcW w:w="7722" w:type="dxa"/>
          </w:tcPr>
          <w:p w14:paraId="3C08F549" w14:textId="77777777" w:rsidR="00FA649D" w:rsidRDefault="00FA649D" w:rsidP="000E7EA4">
            <w:pPr>
              <w:spacing w:before="60" w:after="60"/>
            </w:pPr>
            <w:r>
              <w:t>Promesse de caution et caution bancaire</w:t>
            </w:r>
          </w:p>
        </w:tc>
      </w:tr>
      <w:tr w:rsidR="00FA649D" w14:paraId="5DD14D22" w14:textId="77777777" w:rsidTr="000E7EA4">
        <w:tc>
          <w:tcPr>
            <w:tcW w:w="1488" w:type="dxa"/>
          </w:tcPr>
          <w:p w14:paraId="07030A52" w14:textId="77777777" w:rsidR="00FA649D" w:rsidRDefault="00FA649D" w:rsidP="000E7EA4">
            <w:pPr>
              <w:spacing w:before="60" w:after="60"/>
              <w:rPr>
                <w:b/>
              </w:rPr>
            </w:pPr>
            <w:r>
              <w:rPr>
                <w:b/>
              </w:rPr>
              <w:t>Article 12</w:t>
            </w:r>
          </w:p>
        </w:tc>
        <w:tc>
          <w:tcPr>
            <w:tcW w:w="7722" w:type="dxa"/>
          </w:tcPr>
          <w:p w14:paraId="1AAF9AC6" w14:textId="77777777" w:rsidR="00FA649D" w:rsidRDefault="00FA649D" w:rsidP="000E7EA4">
            <w:pPr>
              <w:spacing w:before="60" w:after="60"/>
            </w:pPr>
            <w:r>
              <w:t>Adaptations du loyer annuel</w:t>
            </w:r>
          </w:p>
        </w:tc>
      </w:tr>
      <w:tr w:rsidR="00FA649D" w14:paraId="6F973712" w14:textId="77777777" w:rsidTr="000E7EA4">
        <w:tc>
          <w:tcPr>
            <w:tcW w:w="1488" w:type="dxa"/>
          </w:tcPr>
          <w:p w14:paraId="4188FBD3" w14:textId="77777777" w:rsidR="00FA649D" w:rsidRDefault="00FA649D" w:rsidP="000E7EA4">
            <w:pPr>
              <w:spacing w:before="60" w:after="60"/>
              <w:rPr>
                <w:b/>
              </w:rPr>
            </w:pPr>
            <w:r>
              <w:rPr>
                <w:b/>
              </w:rPr>
              <w:t>Article 13</w:t>
            </w:r>
          </w:p>
        </w:tc>
        <w:tc>
          <w:tcPr>
            <w:tcW w:w="7722" w:type="dxa"/>
          </w:tcPr>
          <w:p w14:paraId="3F31ABC3" w14:textId="77777777" w:rsidR="00FA649D" w:rsidRDefault="00FA649D" w:rsidP="000E7EA4">
            <w:pPr>
              <w:spacing w:before="60" w:after="60"/>
            </w:pPr>
            <w:r>
              <w:t>Acquittement du loyer annuel</w:t>
            </w:r>
          </w:p>
        </w:tc>
      </w:tr>
      <w:tr w:rsidR="00FA649D" w14:paraId="2AD77257" w14:textId="77777777" w:rsidTr="000E7EA4">
        <w:tc>
          <w:tcPr>
            <w:tcW w:w="1488" w:type="dxa"/>
          </w:tcPr>
          <w:p w14:paraId="1728A893" w14:textId="77777777" w:rsidR="00FA649D" w:rsidRDefault="00FA649D" w:rsidP="000E7EA4">
            <w:pPr>
              <w:spacing w:before="60" w:after="60"/>
              <w:rPr>
                <w:b/>
              </w:rPr>
            </w:pPr>
            <w:r>
              <w:rPr>
                <w:b/>
              </w:rPr>
              <w:t>Article 14</w:t>
            </w:r>
          </w:p>
        </w:tc>
        <w:tc>
          <w:tcPr>
            <w:tcW w:w="7722" w:type="dxa"/>
          </w:tcPr>
          <w:p w14:paraId="0DD7CCC6" w14:textId="77777777" w:rsidR="00FA649D" w:rsidRDefault="00FA649D" w:rsidP="000E7EA4">
            <w:pPr>
              <w:spacing w:before="60" w:after="60"/>
            </w:pPr>
            <w:r>
              <w:t>Mise en cause du bailleur</w:t>
            </w:r>
          </w:p>
        </w:tc>
      </w:tr>
      <w:tr w:rsidR="00FA649D" w14:paraId="0C71FC1A" w14:textId="77777777" w:rsidTr="000E7EA4">
        <w:tc>
          <w:tcPr>
            <w:tcW w:w="1488" w:type="dxa"/>
          </w:tcPr>
          <w:p w14:paraId="264A461A" w14:textId="77777777" w:rsidR="00FA649D" w:rsidRDefault="00FA649D" w:rsidP="000E7EA4">
            <w:pPr>
              <w:spacing w:before="60" w:after="60"/>
              <w:rPr>
                <w:b/>
              </w:rPr>
            </w:pPr>
            <w:r>
              <w:rPr>
                <w:b/>
              </w:rPr>
              <w:t>Article 15</w:t>
            </w:r>
          </w:p>
        </w:tc>
        <w:tc>
          <w:tcPr>
            <w:tcW w:w="7722" w:type="dxa"/>
          </w:tcPr>
          <w:p w14:paraId="0A702CC3" w14:textId="77777777" w:rsidR="00FA649D" w:rsidRDefault="00FA649D" w:rsidP="000E7EA4">
            <w:pPr>
              <w:spacing w:before="60" w:after="60"/>
            </w:pPr>
            <w:r>
              <w:t>Surveillance du lot de chasse</w:t>
            </w:r>
          </w:p>
        </w:tc>
      </w:tr>
      <w:tr w:rsidR="00FA649D" w14:paraId="3F5BC2B6" w14:textId="77777777" w:rsidTr="000E7EA4">
        <w:tc>
          <w:tcPr>
            <w:tcW w:w="1488" w:type="dxa"/>
          </w:tcPr>
          <w:p w14:paraId="0BE11AF6" w14:textId="77777777" w:rsidR="00FA649D" w:rsidRDefault="00FA649D" w:rsidP="000E7EA4">
            <w:pPr>
              <w:spacing w:before="60" w:after="60"/>
              <w:rPr>
                <w:b/>
              </w:rPr>
            </w:pPr>
            <w:r>
              <w:rPr>
                <w:b/>
              </w:rPr>
              <w:t>Article 16</w:t>
            </w:r>
          </w:p>
        </w:tc>
        <w:tc>
          <w:tcPr>
            <w:tcW w:w="7722" w:type="dxa"/>
          </w:tcPr>
          <w:p w14:paraId="55D3F49B" w14:textId="77777777" w:rsidR="00FA649D" w:rsidRDefault="00FA649D" w:rsidP="000E7EA4">
            <w:pPr>
              <w:spacing w:before="60" w:after="60"/>
            </w:pPr>
            <w:r>
              <w:t>Communications et transmissions de documents</w:t>
            </w:r>
          </w:p>
        </w:tc>
      </w:tr>
      <w:tr w:rsidR="00FA649D" w14:paraId="1B2FB0EF" w14:textId="77777777" w:rsidTr="000E7EA4">
        <w:tc>
          <w:tcPr>
            <w:tcW w:w="1488" w:type="dxa"/>
          </w:tcPr>
          <w:p w14:paraId="3E49A93E" w14:textId="77777777" w:rsidR="00FA649D" w:rsidRDefault="00FA649D" w:rsidP="000E7EA4">
            <w:pPr>
              <w:spacing w:before="60" w:after="60"/>
              <w:rPr>
                <w:b/>
              </w:rPr>
            </w:pPr>
            <w:r>
              <w:rPr>
                <w:b/>
              </w:rPr>
              <w:t>Article 17</w:t>
            </w:r>
          </w:p>
        </w:tc>
        <w:tc>
          <w:tcPr>
            <w:tcW w:w="7722" w:type="dxa"/>
          </w:tcPr>
          <w:p w14:paraId="2AEE834B" w14:textId="77777777" w:rsidR="00FA649D" w:rsidRDefault="00FA649D" w:rsidP="000E7EA4">
            <w:pPr>
              <w:spacing w:before="60" w:after="60"/>
            </w:pPr>
            <w:r>
              <w:t>Infractions et indemnités</w:t>
            </w:r>
          </w:p>
        </w:tc>
      </w:tr>
      <w:tr w:rsidR="00FA649D" w14:paraId="1F92B9BD" w14:textId="77777777" w:rsidTr="000E7EA4">
        <w:tc>
          <w:tcPr>
            <w:tcW w:w="1488" w:type="dxa"/>
          </w:tcPr>
          <w:p w14:paraId="0FA38EC1" w14:textId="77777777" w:rsidR="00FA649D" w:rsidRDefault="00FA649D" w:rsidP="000E7EA4">
            <w:pPr>
              <w:spacing w:before="60" w:after="60"/>
              <w:rPr>
                <w:b/>
              </w:rPr>
            </w:pPr>
            <w:r>
              <w:rPr>
                <w:b/>
              </w:rPr>
              <w:t>Article 18</w:t>
            </w:r>
          </w:p>
        </w:tc>
        <w:tc>
          <w:tcPr>
            <w:tcW w:w="7722" w:type="dxa"/>
          </w:tcPr>
          <w:p w14:paraId="10A831FF" w14:textId="77777777" w:rsidR="00FA649D" w:rsidRDefault="00FA649D" w:rsidP="000E7EA4">
            <w:pPr>
              <w:spacing w:before="60" w:after="60"/>
            </w:pPr>
            <w:r>
              <w:t>Exercice du droit de chasse</w:t>
            </w:r>
          </w:p>
        </w:tc>
      </w:tr>
      <w:tr w:rsidR="00FA649D" w14:paraId="4F6F6E43" w14:textId="77777777" w:rsidTr="000E7EA4">
        <w:tc>
          <w:tcPr>
            <w:tcW w:w="1488" w:type="dxa"/>
          </w:tcPr>
          <w:p w14:paraId="5AEC40AE" w14:textId="77777777" w:rsidR="00FA649D" w:rsidRDefault="00FA649D" w:rsidP="000E7EA4">
            <w:pPr>
              <w:spacing w:before="60" w:after="60"/>
              <w:rPr>
                <w:b/>
              </w:rPr>
            </w:pPr>
            <w:r>
              <w:rPr>
                <w:b/>
              </w:rPr>
              <w:t>Article 19</w:t>
            </w:r>
          </w:p>
        </w:tc>
        <w:tc>
          <w:tcPr>
            <w:tcW w:w="7722" w:type="dxa"/>
          </w:tcPr>
          <w:p w14:paraId="347A35D1" w14:textId="77777777" w:rsidR="00FA649D" w:rsidRDefault="00FA649D" w:rsidP="000E7EA4">
            <w:pPr>
              <w:spacing w:before="60" w:after="60"/>
            </w:pPr>
            <w:r>
              <w:t>Division du lot entre associés</w:t>
            </w:r>
          </w:p>
        </w:tc>
      </w:tr>
      <w:tr w:rsidR="00FA649D" w14:paraId="07D5BF7D" w14:textId="77777777" w:rsidTr="000E7EA4">
        <w:tc>
          <w:tcPr>
            <w:tcW w:w="1488" w:type="dxa"/>
          </w:tcPr>
          <w:p w14:paraId="00E5EA4B" w14:textId="77777777" w:rsidR="00FA649D" w:rsidRDefault="00FA649D" w:rsidP="000E7EA4">
            <w:pPr>
              <w:spacing w:before="60" w:after="60"/>
              <w:rPr>
                <w:b/>
              </w:rPr>
            </w:pPr>
            <w:r>
              <w:rPr>
                <w:b/>
              </w:rPr>
              <w:t>Article 20</w:t>
            </w:r>
          </w:p>
        </w:tc>
        <w:tc>
          <w:tcPr>
            <w:tcW w:w="7722" w:type="dxa"/>
          </w:tcPr>
          <w:p w14:paraId="0F59EC95" w14:textId="77777777" w:rsidR="00FA649D" w:rsidRDefault="00FA649D" w:rsidP="000E7EA4">
            <w:pPr>
              <w:spacing w:before="60" w:after="60"/>
            </w:pPr>
            <w:r>
              <w:t>Cession de bail</w:t>
            </w:r>
          </w:p>
        </w:tc>
      </w:tr>
      <w:tr w:rsidR="00FA649D" w14:paraId="64BF68B1" w14:textId="77777777" w:rsidTr="000E7EA4">
        <w:tc>
          <w:tcPr>
            <w:tcW w:w="1488" w:type="dxa"/>
          </w:tcPr>
          <w:p w14:paraId="2E1FD599" w14:textId="77777777" w:rsidR="00FA649D" w:rsidRDefault="00FA649D" w:rsidP="000E7EA4">
            <w:pPr>
              <w:spacing w:before="60" w:after="60"/>
              <w:rPr>
                <w:b/>
              </w:rPr>
            </w:pPr>
            <w:r>
              <w:rPr>
                <w:b/>
              </w:rPr>
              <w:t>Article 21</w:t>
            </w:r>
          </w:p>
        </w:tc>
        <w:tc>
          <w:tcPr>
            <w:tcW w:w="7722" w:type="dxa"/>
          </w:tcPr>
          <w:p w14:paraId="16520CBD" w14:textId="77777777" w:rsidR="00FA649D" w:rsidRDefault="00FA649D" w:rsidP="000E7EA4">
            <w:pPr>
              <w:spacing w:before="60" w:after="60"/>
            </w:pPr>
            <w:r>
              <w:t>Sous-locations, échanges, accords de chasse et conventions d'emplacement</w:t>
            </w:r>
          </w:p>
        </w:tc>
      </w:tr>
      <w:tr w:rsidR="00FA649D" w14:paraId="3A027817" w14:textId="77777777" w:rsidTr="000E7EA4">
        <w:tc>
          <w:tcPr>
            <w:tcW w:w="1488" w:type="dxa"/>
          </w:tcPr>
          <w:p w14:paraId="1E202F13" w14:textId="77777777" w:rsidR="00FA649D" w:rsidRDefault="00FA649D" w:rsidP="000E7EA4">
            <w:pPr>
              <w:spacing w:before="60" w:after="60"/>
              <w:rPr>
                <w:b/>
              </w:rPr>
            </w:pPr>
            <w:r>
              <w:rPr>
                <w:b/>
              </w:rPr>
              <w:t>Article 22</w:t>
            </w:r>
          </w:p>
        </w:tc>
        <w:tc>
          <w:tcPr>
            <w:tcW w:w="7722" w:type="dxa"/>
          </w:tcPr>
          <w:p w14:paraId="53BAA2C0" w14:textId="77777777" w:rsidR="00FA649D" w:rsidRDefault="00FA649D" w:rsidP="000E7EA4">
            <w:pPr>
              <w:spacing w:before="60" w:after="60"/>
            </w:pPr>
            <w:r>
              <w:t>Réduction de loyer et résiliation du bail pour cause d'aliénation</w:t>
            </w:r>
          </w:p>
        </w:tc>
      </w:tr>
      <w:tr w:rsidR="00FA649D" w14:paraId="70B64F7E" w14:textId="77777777" w:rsidTr="000E7EA4">
        <w:tc>
          <w:tcPr>
            <w:tcW w:w="1488" w:type="dxa"/>
          </w:tcPr>
          <w:p w14:paraId="0BC5EA1E" w14:textId="77777777" w:rsidR="00FA649D" w:rsidRDefault="00FA649D" w:rsidP="000E7EA4">
            <w:pPr>
              <w:spacing w:before="60" w:after="60"/>
              <w:rPr>
                <w:b/>
              </w:rPr>
            </w:pPr>
            <w:r>
              <w:rPr>
                <w:b/>
              </w:rPr>
              <w:t>Article 23</w:t>
            </w:r>
          </w:p>
        </w:tc>
        <w:tc>
          <w:tcPr>
            <w:tcW w:w="7722" w:type="dxa"/>
          </w:tcPr>
          <w:p w14:paraId="42B3399F" w14:textId="77777777" w:rsidR="00FA649D" w:rsidRDefault="00FA649D" w:rsidP="000E7EA4">
            <w:pPr>
              <w:spacing w:before="60" w:after="60"/>
            </w:pPr>
            <w:r>
              <w:t>Augmentation du loyer pour cause d'acquisition</w:t>
            </w:r>
          </w:p>
        </w:tc>
      </w:tr>
      <w:tr w:rsidR="00FA649D" w14:paraId="3AB274C6" w14:textId="77777777" w:rsidTr="000E7EA4">
        <w:tc>
          <w:tcPr>
            <w:tcW w:w="1488" w:type="dxa"/>
          </w:tcPr>
          <w:p w14:paraId="1D148099" w14:textId="77777777" w:rsidR="00FA649D" w:rsidRDefault="00FA649D" w:rsidP="000E7EA4">
            <w:pPr>
              <w:spacing w:before="60" w:after="60"/>
              <w:rPr>
                <w:b/>
              </w:rPr>
            </w:pPr>
            <w:r>
              <w:rPr>
                <w:b/>
              </w:rPr>
              <w:t>Article 24</w:t>
            </w:r>
          </w:p>
        </w:tc>
        <w:tc>
          <w:tcPr>
            <w:tcW w:w="7722" w:type="dxa"/>
          </w:tcPr>
          <w:p w14:paraId="36962FBF" w14:textId="77777777" w:rsidR="00FA649D" w:rsidRDefault="00FA649D" w:rsidP="000E7EA4">
            <w:pPr>
              <w:spacing w:before="60" w:after="60"/>
            </w:pPr>
            <w:r>
              <w:t>Résiliation du bail de plein droit</w:t>
            </w:r>
          </w:p>
        </w:tc>
      </w:tr>
      <w:tr w:rsidR="00FA649D" w14:paraId="3CB73945" w14:textId="77777777" w:rsidTr="000E7EA4">
        <w:tc>
          <w:tcPr>
            <w:tcW w:w="1488" w:type="dxa"/>
          </w:tcPr>
          <w:p w14:paraId="6B36A738" w14:textId="77777777" w:rsidR="00FA649D" w:rsidRDefault="00FA649D" w:rsidP="000E7EA4">
            <w:pPr>
              <w:spacing w:before="60" w:after="60"/>
              <w:rPr>
                <w:b/>
              </w:rPr>
            </w:pPr>
            <w:r>
              <w:rPr>
                <w:b/>
              </w:rPr>
              <w:t>Article 25</w:t>
            </w:r>
          </w:p>
        </w:tc>
        <w:tc>
          <w:tcPr>
            <w:tcW w:w="7722" w:type="dxa"/>
          </w:tcPr>
          <w:p w14:paraId="2ABA00A3" w14:textId="77777777" w:rsidR="00FA649D" w:rsidRDefault="00FA649D" w:rsidP="000E7EA4">
            <w:pPr>
              <w:spacing w:before="60" w:after="60"/>
            </w:pPr>
            <w:r>
              <w:t>Décès du locataire</w:t>
            </w:r>
          </w:p>
        </w:tc>
      </w:tr>
      <w:tr w:rsidR="00FA649D" w14:paraId="0EF4E991" w14:textId="77777777" w:rsidTr="000E7EA4">
        <w:tc>
          <w:tcPr>
            <w:tcW w:w="1488" w:type="dxa"/>
          </w:tcPr>
          <w:p w14:paraId="5C1CCD8D" w14:textId="77777777" w:rsidR="00FA649D" w:rsidRDefault="00FA649D" w:rsidP="000E7EA4">
            <w:pPr>
              <w:spacing w:before="60" w:after="60"/>
              <w:rPr>
                <w:b/>
              </w:rPr>
            </w:pPr>
          </w:p>
        </w:tc>
        <w:tc>
          <w:tcPr>
            <w:tcW w:w="7722" w:type="dxa"/>
          </w:tcPr>
          <w:p w14:paraId="580690FC" w14:textId="77777777" w:rsidR="00FA649D" w:rsidRDefault="00FA649D" w:rsidP="000E7EA4">
            <w:pPr>
              <w:spacing w:before="60" w:after="60"/>
            </w:pPr>
          </w:p>
        </w:tc>
      </w:tr>
      <w:tr w:rsidR="00FA649D" w14:paraId="7B3AEE2D" w14:textId="77777777" w:rsidTr="000E7EA4">
        <w:trPr>
          <w:cantSplit/>
        </w:trPr>
        <w:tc>
          <w:tcPr>
            <w:tcW w:w="9210" w:type="dxa"/>
            <w:gridSpan w:val="2"/>
          </w:tcPr>
          <w:p w14:paraId="64B1273B" w14:textId="77777777" w:rsidR="00FA649D" w:rsidRDefault="00FA649D" w:rsidP="000E7EA4">
            <w:pPr>
              <w:spacing w:before="60" w:after="60"/>
              <w:jc w:val="center"/>
              <w:rPr>
                <w:b/>
                <w:sz w:val="24"/>
                <w:u w:val="single"/>
              </w:rPr>
            </w:pPr>
            <w:r>
              <w:rPr>
                <w:b/>
                <w:sz w:val="24"/>
                <w:u w:val="single"/>
              </w:rPr>
              <w:t>Chapitre III - Dispositions conservatoires</w:t>
            </w:r>
          </w:p>
        </w:tc>
      </w:tr>
      <w:tr w:rsidR="00FA649D" w14:paraId="245DF94D" w14:textId="77777777" w:rsidTr="000E7EA4">
        <w:tc>
          <w:tcPr>
            <w:tcW w:w="1488" w:type="dxa"/>
          </w:tcPr>
          <w:p w14:paraId="1ED03C32" w14:textId="77777777" w:rsidR="00FA649D" w:rsidRDefault="00FA649D" w:rsidP="000E7EA4">
            <w:pPr>
              <w:spacing w:before="60" w:after="60"/>
              <w:rPr>
                <w:b/>
              </w:rPr>
            </w:pPr>
            <w:r>
              <w:rPr>
                <w:b/>
              </w:rPr>
              <w:t>Article 26</w:t>
            </w:r>
          </w:p>
        </w:tc>
        <w:tc>
          <w:tcPr>
            <w:tcW w:w="7722" w:type="dxa"/>
          </w:tcPr>
          <w:p w14:paraId="35A209C7" w14:textId="77777777" w:rsidR="00FA649D" w:rsidRDefault="00FA649D" w:rsidP="000E7EA4">
            <w:pPr>
              <w:spacing w:before="60" w:after="60"/>
            </w:pPr>
            <w:r>
              <w:t>Apport et reprise d'animaux</w:t>
            </w:r>
          </w:p>
        </w:tc>
      </w:tr>
      <w:tr w:rsidR="00FA649D" w14:paraId="2EE9A75E" w14:textId="77777777" w:rsidTr="000E7EA4">
        <w:tc>
          <w:tcPr>
            <w:tcW w:w="1488" w:type="dxa"/>
          </w:tcPr>
          <w:p w14:paraId="4431C8ED" w14:textId="77777777" w:rsidR="00FA649D" w:rsidRDefault="00FA649D" w:rsidP="000E7EA4">
            <w:pPr>
              <w:spacing w:before="60" w:after="60"/>
              <w:rPr>
                <w:b/>
              </w:rPr>
            </w:pPr>
            <w:r>
              <w:rPr>
                <w:b/>
              </w:rPr>
              <w:t>Article 27</w:t>
            </w:r>
          </w:p>
        </w:tc>
        <w:tc>
          <w:tcPr>
            <w:tcW w:w="7722" w:type="dxa"/>
          </w:tcPr>
          <w:p w14:paraId="44F610A7" w14:textId="77777777" w:rsidR="00FA649D" w:rsidRDefault="00FA649D" w:rsidP="000E7EA4">
            <w:pPr>
              <w:spacing w:before="60" w:after="60"/>
            </w:pPr>
            <w:r>
              <w:t>Circulation du gibier et clôtures</w:t>
            </w:r>
          </w:p>
        </w:tc>
      </w:tr>
      <w:tr w:rsidR="00FA649D" w14:paraId="536B0567" w14:textId="77777777" w:rsidTr="000E7EA4">
        <w:tc>
          <w:tcPr>
            <w:tcW w:w="1488" w:type="dxa"/>
          </w:tcPr>
          <w:p w14:paraId="54C68CAD" w14:textId="77777777" w:rsidR="00FA649D" w:rsidRDefault="00FA649D" w:rsidP="000E7EA4">
            <w:pPr>
              <w:spacing w:before="60" w:after="60"/>
              <w:rPr>
                <w:b/>
              </w:rPr>
            </w:pPr>
            <w:r>
              <w:rPr>
                <w:b/>
              </w:rPr>
              <w:t>Article 28</w:t>
            </w:r>
          </w:p>
        </w:tc>
        <w:tc>
          <w:tcPr>
            <w:tcW w:w="7722" w:type="dxa"/>
          </w:tcPr>
          <w:p w14:paraId="600FA648" w14:textId="77777777" w:rsidR="00FA649D" w:rsidRDefault="00FA649D" w:rsidP="000E7EA4">
            <w:pPr>
              <w:spacing w:before="60" w:after="60"/>
            </w:pPr>
            <w:r>
              <w:t>Gestion du biotope en faveur du gibier</w:t>
            </w:r>
          </w:p>
        </w:tc>
      </w:tr>
      <w:tr w:rsidR="00FA649D" w14:paraId="43B55219" w14:textId="77777777" w:rsidTr="000E7EA4">
        <w:tc>
          <w:tcPr>
            <w:tcW w:w="1488" w:type="dxa"/>
          </w:tcPr>
          <w:p w14:paraId="4BBB13D0" w14:textId="77777777" w:rsidR="00FA649D" w:rsidRDefault="00FA649D" w:rsidP="000E7EA4">
            <w:pPr>
              <w:spacing w:before="60" w:after="60"/>
              <w:rPr>
                <w:b/>
              </w:rPr>
            </w:pPr>
            <w:r>
              <w:rPr>
                <w:b/>
              </w:rPr>
              <w:t>Article 29</w:t>
            </w:r>
          </w:p>
        </w:tc>
        <w:tc>
          <w:tcPr>
            <w:tcW w:w="7722" w:type="dxa"/>
          </w:tcPr>
          <w:p w14:paraId="62F3F2C5" w14:textId="77777777" w:rsidR="00FA649D" w:rsidRDefault="00FA649D" w:rsidP="000E7EA4">
            <w:pPr>
              <w:spacing w:before="60" w:after="60"/>
            </w:pPr>
            <w:r>
              <w:t>Distribution d'aliments au grand gibier</w:t>
            </w:r>
          </w:p>
        </w:tc>
      </w:tr>
      <w:tr w:rsidR="00FA649D" w14:paraId="295D4227" w14:textId="77777777" w:rsidTr="000E7EA4">
        <w:tc>
          <w:tcPr>
            <w:tcW w:w="1488" w:type="dxa"/>
          </w:tcPr>
          <w:p w14:paraId="1E1B5D74" w14:textId="77777777" w:rsidR="00FA649D" w:rsidRDefault="00FA649D" w:rsidP="000E7EA4">
            <w:pPr>
              <w:spacing w:before="60" w:after="60"/>
              <w:rPr>
                <w:b/>
              </w:rPr>
            </w:pPr>
            <w:r>
              <w:rPr>
                <w:b/>
              </w:rPr>
              <w:t>Article 30</w:t>
            </w:r>
          </w:p>
        </w:tc>
        <w:tc>
          <w:tcPr>
            <w:tcW w:w="7722" w:type="dxa"/>
          </w:tcPr>
          <w:p w14:paraId="1ADCF2D9" w14:textId="77777777" w:rsidR="00FA649D" w:rsidRDefault="00FA649D" w:rsidP="000E7EA4">
            <w:pPr>
              <w:spacing w:before="60" w:after="60"/>
            </w:pPr>
            <w:r>
              <w:t>Distribution d'aliments aux autres catégories de gibier</w:t>
            </w:r>
          </w:p>
        </w:tc>
      </w:tr>
      <w:tr w:rsidR="00FA649D" w14:paraId="5C9AC578" w14:textId="77777777" w:rsidTr="000E7EA4">
        <w:tc>
          <w:tcPr>
            <w:tcW w:w="1488" w:type="dxa"/>
          </w:tcPr>
          <w:p w14:paraId="79BFAB68" w14:textId="77777777" w:rsidR="00FA649D" w:rsidRDefault="00FA649D" w:rsidP="000E7EA4">
            <w:pPr>
              <w:spacing w:before="60" w:after="60"/>
              <w:rPr>
                <w:b/>
              </w:rPr>
            </w:pPr>
            <w:r>
              <w:rPr>
                <w:b/>
              </w:rPr>
              <w:lastRenderedPageBreak/>
              <w:t>Article 31</w:t>
            </w:r>
          </w:p>
        </w:tc>
        <w:tc>
          <w:tcPr>
            <w:tcW w:w="7722" w:type="dxa"/>
          </w:tcPr>
          <w:p w14:paraId="491F9B6F" w14:textId="77777777" w:rsidR="00FA649D" w:rsidRDefault="00FA649D" w:rsidP="000E7EA4">
            <w:pPr>
              <w:spacing w:before="60" w:after="60"/>
            </w:pPr>
            <w:r>
              <w:t>Apport d'autres produits dans le lot</w:t>
            </w:r>
          </w:p>
        </w:tc>
      </w:tr>
      <w:tr w:rsidR="00FA649D" w14:paraId="04E23404" w14:textId="77777777" w:rsidTr="000E7EA4">
        <w:tc>
          <w:tcPr>
            <w:tcW w:w="1488" w:type="dxa"/>
          </w:tcPr>
          <w:p w14:paraId="389665C2" w14:textId="77777777" w:rsidR="00FA649D" w:rsidRDefault="00FA649D" w:rsidP="000E7EA4">
            <w:pPr>
              <w:spacing w:before="60" w:after="60"/>
              <w:rPr>
                <w:b/>
              </w:rPr>
            </w:pPr>
            <w:r>
              <w:rPr>
                <w:b/>
              </w:rPr>
              <w:t>Article 32</w:t>
            </w:r>
          </w:p>
        </w:tc>
        <w:tc>
          <w:tcPr>
            <w:tcW w:w="7722" w:type="dxa"/>
          </w:tcPr>
          <w:p w14:paraId="7CCAA328" w14:textId="77777777" w:rsidR="00FA649D" w:rsidRDefault="00FA649D" w:rsidP="000E7EA4">
            <w:pPr>
              <w:spacing w:before="60" w:after="60"/>
            </w:pPr>
            <w:r>
              <w:t>Protection contre les dommages causés par le gibier à la végétation du lot et amélioration du biotope</w:t>
            </w:r>
          </w:p>
        </w:tc>
      </w:tr>
      <w:tr w:rsidR="00FA649D" w14:paraId="3DB33770" w14:textId="77777777" w:rsidTr="000E7EA4">
        <w:tc>
          <w:tcPr>
            <w:tcW w:w="1488" w:type="dxa"/>
          </w:tcPr>
          <w:p w14:paraId="74F221F1" w14:textId="77777777" w:rsidR="00FA649D" w:rsidRDefault="00FA649D" w:rsidP="000E7EA4">
            <w:pPr>
              <w:spacing w:before="60" w:after="60"/>
              <w:rPr>
                <w:b/>
              </w:rPr>
            </w:pPr>
            <w:r>
              <w:rPr>
                <w:b/>
              </w:rPr>
              <w:t>Article 33</w:t>
            </w:r>
          </w:p>
        </w:tc>
        <w:tc>
          <w:tcPr>
            <w:tcW w:w="7722" w:type="dxa"/>
          </w:tcPr>
          <w:p w14:paraId="080D0600" w14:textId="77777777" w:rsidR="00FA649D" w:rsidRDefault="00FA649D" w:rsidP="000E7EA4">
            <w:pPr>
              <w:spacing w:before="60" w:after="60"/>
            </w:pPr>
            <w:r>
              <w:t>Dommages causés par le gibier aux héritages voisins</w:t>
            </w:r>
          </w:p>
          <w:p w14:paraId="76ABF3C1" w14:textId="77777777" w:rsidR="00FA649D" w:rsidRDefault="00FA649D" w:rsidP="000E7EA4">
            <w:pPr>
              <w:spacing w:before="60" w:after="60"/>
            </w:pPr>
          </w:p>
        </w:tc>
      </w:tr>
      <w:tr w:rsidR="00FA649D" w14:paraId="24002434" w14:textId="77777777" w:rsidTr="000E7EA4">
        <w:trPr>
          <w:cantSplit/>
        </w:trPr>
        <w:tc>
          <w:tcPr>
            <w:tcW w:w="9210" w:type="dxa"/>
            <w:gridSpan w:val="2"/>
          </w:tcPr>
          <w:p w14:paraId="1F629523" w14:textId="77777777" w:rsidR="00FA649D" w:rsidRDefault="00FA649D" w:rsidP="000E7EA4">
            <w:pPr>
              <w:spacing w:before="60" w:after="60"/>
              <w:jc w:val="center"/>
              <w:rPr>
                <w:b/>
                <w:sz w:val="24"/>
                <w:u w:val="single"/>
              </w:rPr>
            </w:pPr>
            <w:r>
              <w:rPr>
                <w:b/>
                <w:sz w:val="24"/>
                <w:u w:val="single"/>
              </w:rPr>
              <w:t>Chapitre IV - Dispositions cynégétiques</w:t>
            </w:r>
          </w:p>
        </w:tc>
      </w:tr>
      <w:tr w:rsidR="00FA649D" w14:paraId="233A0196" w14:textId="77777777" w:rsidTr="000E7EA4">
        <w:tc>
          <w:tcPr>
            <w:tcW w:w="1488" w:type="dxa"/>
          </w:tcPr>
          <w:p w14:paraId="3479931E" w14:textId="77777777" w:rsidR="00FA649D" w:rsidRDefault="00FA649D" w:rsidP="000E7EA4">
            <w:pPr>
              <w:spacing w:before="60" w:after="60"/>
              <w:rPr>
                <w:b/>
              </w:rPr>
            </w:pPr>
            <w:r>
              <w:rPr>
                <w:b/>
              </w:rPr>
              <w:t>Article 34</w:t>
            </w:r>
          </w:p>
        </w:tc>
        <w:tc>
          <w:tcPr>
            <w:tcW w:w="7722" w:type="dxa"/>
          </w:tcPr>
          <w:p w14:paraId="370DB087" w14:textId="77777777" w:rsidR="00FA649D" w:rsidRDefault="00FA649D" w:rsidP="000E7EA4">
            <w:pPr>
              <w:spacing w:before="60" w:after="60"/>
            </w:pPr>
            <w:r>
              <w:t>Modes de chasse autorisés</w:t>
            </w:r>
          </w:p>
        </w:tc>
      </w:tr>
      <w:tr w:rsidR="00FA649D" w14:paraId="67481B17" w14:textId="77777777" w:rsidTr="000E7EA4">
        <w:tc>
          <w:tcPr>
            <w:tcW w:w="1488" w:type="dxa"/>
          </w:tcPr>
          <w:p w14:paraId="035BA978" w14:textId="77777777" w:rsidR="00FA649D" w:rsidRDefault="00FA649D" w:rsidP="000E7EA4">
            <w:pPr>
              <w:spacing w:before="60" w:after="60"/>
              <w:rPr>
                <w:b/>
              </w:rPr>
            </w:pPr>
            <w:r>
              <w:rPr>
                <w:b/>
              </w:rPr>
              <w:t>Article 35</w:t>
            </w:r>
          </w:p>
        </w:tc>
        <w:tc>
          <w:tcPr>
            <w:tcW w:w="7722" w:type="dxa"/>
          </w:tcPr>
          <w:p w14:paraId="6E810921" w14:textId="77777777" w:rsidR="00FA649D" w:rsidRDefault="00FA649D" w:rsidP="000E7EA4">
            <w:pPr>
              <w:spacing w:before="60" w:after="60"/>
            </w:pPr>
            <w:r>
              <w:t>Présence du locataire lors de l'exercice de la chasse</w:t>
            </w:r>
          </w:p>
        </w:tc>
      </w:tr>
      <w:tr w:rsidR="00FA649D" w14:paraId="3A4E1B85" w14:textId="77777777" w:rsidTr="000E7EA4">
        <w:tc>
          <w:tcPr>
            <w:tcW w:w="1488" w:type="dxa"/>
          </w:tcPr>
          <w:p w14:paraId="544434F8" w14:textId="77777777" w:rsidR="00FA649D" w:rsidRDefault="00FA649D" w:rsidP="000E7EA4">
            <w:pPr>
              <w:spacing w:before="60" w:after="60"/>
              <w:rPr>
                <w:b/>
              </w:rPr>
            </w:pPr>
            <w:r>
              <w:rPr>
                <w:b/>
              </w:rPr>
              <w:t>Article 36</w:t>
            </w:r>
          </w:p>
        </w:tc>
        <w:tc>
          <w:tcPr>
            <w:tcW w:w="7722" w:type="dxa"/>
          </w:tcPr>
          <w:p w14:paraId="57B0F259" w14:textId="77777777" w:rsidR="00FA649D" w:rsidRDefault="00FA649D" w:rsidP="000E7EA4">
            <w:pPr>
              <w:spacing w:before="60" w:after="60"/>
            </w:pPr>
            <w:r>
              <w:t>Annonce des actions de chasse au public</w:t>
            </w:r>
          </w:p>
        </w:tc>
      </w:tr>
      <w:tr w:rsidR="00FA649D" w14:paraId="5BC7C21C" w14:textId="77777777" w:rsidTr="000E7EA4">
        <w:tc>
          <w:tcPr>
            <w:tcW w:w="1488" w:type="dxa"/>
          </w:tcPr>
          <w:p w14:paraId="61829954" w14:textId="77777777" w:rsidR="00FA649D" w:rsidRDefault="00FA649D" w:rsidP="000E7EA4">
            <w:pPr>
              <w:spacing w:before="60" w:after="60"/>
              <w:rPr>
                <w:b/>
              </w:rPr>
            </w:pPr>
            <w:r>
              <w:rPr>
                <w:b/>
              </w:rPr>
              <w:t>Article 37</w:t>
            </w:r>
          </w:p>
        </w:tc>
        <w:tc>
          <w:tcPr>
            <w:tcW w:w="7722" w:type="dxa"/>
          </w:tcPr>
          <w:p w14:paraId="6A410773" w14:textId="77777777" w:rsidR="00FA649D" w:rsidRDefault="00FA649D" w:rsidP="000E7EA4">
            <w:pPr>
              <w:spacing w:before="60" w:after="60"/>
            </w:pPr>
            <w:r>
              <w:t>Nombre de chasseurs pratiquant simultanément certains modes de chasse</w:t>
            </w:r>
          </w:p>
        </w:tc>
      </w:tr>
      <w:tr w:rsidR="00FA649D" w14:paraId="2308D953" w14:textId="77777777" w:rsidTr="000E7EA4">
        <w:tc>
          <w:tcPr>
            <w:tcW w:w="1488" w:type="dxa"/>
          </w:tcPr>
          <w:p w14:paraId="196E8544" w14:textId="77777777" w:rsidR="00FA649D" w:rsidRDefault="00FA649D" w:rsidP="000E7EA4">
            <w:pPr>
              <w:spacing w:before="60" w:after="60"/>
              <w:rPr>
                <w:b/>
              </w:rPr>
            </w:pPr>
            <w:r>
              <w:rPr>
                <w:b/>
              </w:rPr>
              <w:t>Article 38</w:t>
            </w:r>
          </w:p>
        </w:tc>
        <w:tc>
          <w:tcPr>
            <w:tcW w:w="7722" w:type="dxa"/>
          </w:tcPr>
          <w:p w14:paraId="3FFB340E" w14:textId="77777777" w:rsidR="00FA649D" w:rsidRDefault="00FA649D" w:rsidP="000E7EA4">
            <w:pPr>
              <w:spacing w:before="60" w:after="60"/>
            </w:pPr>
            <w:r>
              <w:t>Équipements d'affût</w:t>
            </w:r>
          </w:p>
        </w:tc>
      </w:tr>
      <w:tr w:rsidR="00FA649D" w14:paraId="18239CB8" w14:textId="77777777" w:rsidTr="000E7EA4">
        <w:tc>
          <w:tcPr>
            <w:tcW w:w="1488" w:type="dxa"/>
          </w:tcPr>
          <w:p w14:paraId="25860FA2" w14:textId="77777777" w:rsidR="00FA649D" w:rsidRDefault="00FA649D" w:rsidP="000E7EA4">
            <w:pPr>
              <w:spacing w:before="60" w:after="60"/>
              <w:rPr>
                <w:b/>
              </w:rPr>
            </w:pPr>
            <w:r>
              <w:rPr>
                <w:b/>
              </w:rPr>
              <w:t>Article 39</w:t>
            </w:r>
          </w:p>
        </w:tc>
        <w:tc>
          <w:tcPr>
            <w:tcW w:w="7722" w:type="dxa"/>
          </w:tcPr>
          <w:p w14:paraId="23128276" w14:textId="77777777" w:rsidR="00FA649D" w:rsidRDefault="00FA649D" w:rsidP="000E7EA4">
            <w:pPr>
              <w:spacing w:before="60" w:after="60"/>
            </w:pPr>
            <w:r>
              <w:t>Enceintes et postes de battue</w:t>
            </w:r>
          </w:p>
        </w:tc>
      </w:tr>
      <w:tr w:rsidR="00FA649D" w14:paraId="2E099A56" w14:textId="77777777" w:rsidTr="000E7EA4">
        <w:tc>
          <w:tcPr>
            <w:tcW w:w="1488" w:type="dxa"/>
          </w:tcPr>
          <w:p w14:paraId="29400CFF" w14:textId="77777777" w:rsidR="00FA649D" w:rsidRDefault="00FA649D" w:rsidP="000E7EA4">
            <w:pPr>
              <w:spacing w:before="60" w:after="60"/>
              <w:rPr>
                <w:b/>
              </w:rPr>
            </w:pPr>
            <w:r>
              <w:rPr>
                <w:b/>
              </w:rPr>
              <w:t>Article 40</w:t>
            </w:r>
          </w:p>
        </w:tc>
        <w:tc>
          <w:tcPr>
            <w:tcW w:w="7722" w:type="dxa"/>
          </w:tcPr>
          <w:p w14:paraId="193F576C" w14:textId="77777777" w:rsidR="00FA649D" w:rsidRDefault="00FA649D" w:rsidP="000E7EA4">
            <w:pPr>
              <w:spacing w:before="60" w:after="60"/>
            </w:pPr>
            <w:r>
              <w:t>Programmation des journées de chasse</w:t>
            </w:r>
          </w:p>
        </w:tc>
      </w:tr>
      <w:tr w:rsidR="00FA649D" w14:paraId="37748D9D" w14:textId="77777777" w:rsidTr="000E7EA4">
        <w:tc>
          <w:tcPr>
            <w:tcW w:w="1488" w:type="dxa"/>
          </w:tcPr>
          <w:p w14:paraId="41728F63" w14:textId="77777777" w:rsidR="00FA649D" w:rsidRDefault="00FA649D" w:rsidP="000E7EA4">
            <w:pPr>
              <w:spacing w:before="60" w:after="60"/>
              <w:rPr>
                <w:b/>
              </w:rPr>
            </w:pPr>
            <w:r>
              <w:rPr>
                <w:b/>
              </w:rPr>
              <w:t>Article 41</w:t>
            </w:r>
          </w:p>
        </w:tc>
        <w:tc>
          <w:tcPr>
            <w:tcW w:w="7722" w:type="dxa"/>
          </w:tcPr>
          <w:p w14:paraId="62F3A101" w14:textId="77777777" w:rsidR="00FA649D" w:rsidRDefault="00FA649D" w:rsidP="000E7EA4">
            <w:pPr>
              <w:spacing w:before="60" w:after="60"/>
            </w:pPr>
            <w:r>
              <w:t>Régulation du tir</w:t>
            </w:r>
          </w:p>
        </w:tc>
      </w:tr>
      <w:tr w:rsidR="00FA649D" w14:paraId="6168EA05" w14:textId="77777777" w:rsidTr="000E7EA4">
        <w:tc>
          <w:tcPr>
            <w:tcW w:w="1488" w:type="dxa"/>
          </w:tcPr>
          <w:p w14:paraId="0D69893E" w14:textId="77777777" w:rsidR="00FA649D" w:rsidRDefault="00FA649D" w:rsidP="000E7EA4">
            <w:pPr>
              <w:spacing w:before="60" w:after="60"/>
              <w:rPr>
                <w:b/>
              </w:rPr>
            </w:pPr>
            <w:r>
              <w:rPr>
                <w:b/>
              </w:rPr>
              <w:t>Article 42</w:t>
            </w:r>
          </w:p>
        </w:tc>
        <w:tc>
          <w:tcPr>
            <w:tcW w:w="7722" w:type="dxa"/>
          </w:tcPr>
          <w:p w14:paraId="24C2D4C2" w14:textId="77777777" w:rsidR="00FA649D" w:rsidRDefault="00FA649D" w:rsidP="000E7EA4">
            <w:pPr>
              <w:spacing w:before="60" w:after="60"/>
            </w:pPr>
            <w:r>
              <w:t>Recensement du gibier</w:t>
            </w:r>
          </w:p>
        </w:tc>
      </w:tr>
      <w:tr w:rsidR="00FA649D" w14:paraId="7D8A6CD4" w14:textId="77777777" w:rsidTr="000E7EA4">
        <w:tc>
          <w:tcPr>
            <w:tcW w:w="1488" w:type="dxa"/>
          </w:tcPr>
          <w:p w14:paraId="10E6AFF7" w14:textId="77777777" w:rsidR="00FA649D" w:rsidRDefault="00FA649D" w:rsidP="000E7EA4">
            <w:pPr>
              <w:spacing w:before="60" w:after="60"/>
              <w:rPr>
                <w:b/>
              </w:rPr>
            </w:pPr>
            <w:r>
              <w:rPr>
                <w:b/>
              </w:rPr>
              <w:t>Article 43</w:t>
            </w:r>
          </w:p>
        </w:tc>
        <w:tc>
          <w:tcPr>
            <w:tcW w:w="7722" w:type="dxa"/>
          </w:tcPr>
          <w:p w14:paraId="7CF94AA7" w14:textId="77777777" w:rsidR="00FA649D" w:rsidRDefault="00FA649D" w:rsidP="000E7EA4">
            <w:pPr>
              <w:spacing w:before="60" w:after="60"/>
            </w:pPr>
            <w:r>
              <w:t>Études et inventaires du gibier tiré</w:t>
            </w:r>
          </w:p>
          <w:p w14:paraId="02B1E427" w14:textId="77777777" w:rsidR="00FA649D" w:rsidRDefault="00FA649D" w:rsidP="000E7EA4">
            <w:pPr>
              <w:spacing w:before="60" w:after="60"/>
            </w:pPr>
          </w:p>
        </w:tc>
      </w:tr>
      <w:tr w:rsidR="00FA649D" w14:paraId="759A5A42" w14:textId="77777777" w:rsidTr="000E7EA4">
        <w:trPr>
          <w:cantSplit/>
        </w:trPr>
        <w:tc>
          <w:tcPr>
            <w:tcW w:w="9210" w:type="dxa"/>
            <w:gridSpan w:val="2"/>
          </w:tcPr>
          <w:p w14:paraId="427DF7DB" w14:textId="77777777" w:rsidR="00FA649D" w:rsidRDefault="00FA649D" w:rsidP="000E7EA4">
            <w:pPr>
              <w:spacing w:before="60" w:after="60"/>
              <w:jc w:val="center"/>
              <w:rPr>
                <w:b/>
                <w:sz w:val="24"/>
                <w:u w:val="single"/>
              </w:rPr>
            </w:pPr>
            <w:r>
              <w:rPr>
                <w:b/>
                <w:sz w:val="24"/>
                <w:u w:val="single"/>
              </w:rPr>
              <w:t>Chapitre V - Dispositions de coordination</w:t>
            </w:r>
          </w:p>
        </w:tc>
      </w:tr>
      <w:tr w:rsidR="00FA649D" w14:paraId="59F82ABE" w14:textId="77777777" w:rsidTr="000E7EA4">
        <w:tc>
          <w:tcPr>
            <w:tcW w:w="1488" w:type="dxa"/>
          </w:tcPr>
          <w:p w14:paraId="3D857DAE" w14:textId="77777777" w:rsidR="00FA649D" w:rsidRDefault="00FA649D" w:rsidP="000E7EA4">
            <w:pPr>
              <w:spacing w:before="60" w:after="60"/>
              <w:rPr>
                <w:b/>
              </w:rPr>
            </w:pPr>
            <w:r>
              <w:rPr>
                <w:b/>
              </w:rPr>
              <w:t>Article 44</w:t>
            </w:r>
          </w:p>
        </w:tc>
        <w:tc>
          <w:tcPr>
            <w:tcW w:w="7722" w:type="dxa"/>
          </w:tcPr>
          <w:p w14:paraId="45333EAC" w14:textId="77777777" w:rsidR="00FA649D" w:rsidRDefault="00FA649D" w:rsidP="000E7EA4">
            <w:pPr>
              <w:spacing w:before="60" w:after="60"/>
            </w:pPr>
            <w:r>
              <w:t>Droit de chasse et fonctions multiples de la forêt</w:t>
            </w:r>
          </w:p>
        </w:tc>
      </w:tr>
      <w:tr w:rsidR="00FA649D" w14:paraId="32F64F30" w14:textId="77777777" w:rsidTr="000E7EA4">
        <w:tc>
          <w:tcPr>
            <w:tcW w:w="1488" w:type="dxa"/>
          </w:tcPr>
          <w:p w14:paraId="208CA832" w14:textId="77777777" w:rsidR="00FA649D" w:rsidRDefault="00FA649D" w:rsidP="000E7EA4">
            <w:pPr>
              <w:spacing w:before="60" w:after="60"/>
              <w:rPr>
                <w:b/>
              </w:rPr>
            </w:pPr>
            <w:r>
              <w:rPr>
                <w:b/>
              </w:rPr>
              <w:t>Article 45</w:t>
            </w:r>
          </w:p>
        </w:tc>
        <w:tc>
          <w:tcPr>
            <w:tcW w:w="7722" w:type="dxa"/>
          </w:tcPr>
          <w:p w14:paraId="4F1D5297" w14:textId="77777777" w:rsidR="00FA649D" w:rsidRDefault="00FA649D" w:rsidP="000E7EA4">
            <w:pPr>
              <w:spacing w:before="60" w:after="60"/>
            </w:pPr>
            <w:r>
              <w:t>Droit de chasse et gestion des peuplements forestiers</w:t>
            </w:r>
          </w:p>
        </w:tc>
      </w:tr>
      <w:tr w:rsidR="00FA649D" w14:paraId="7F197F76" w14:textId="77777777" w:rsidTr="000E7EA4">
        <w:tc>
          <w:tcPr>
            <w:tcW w:w="1488" w:type="dxa"/>
          </w:tcPr>
          <w:p w14:paraId="2E48A03B" w14:textId="77777777" w:rsidR="00FA649D" w:rsidRDefault="00FA649D" w:rsidP="000E7EA4">
            <w:pPr>
              <w:spacing w:before="60" w:after="60"/>
              <w:rPr>
                <w:b/>
              </w:rPr>
            </w:pPr>
            <w:r>
              <w:rPr>
                <w:b/>
              </w:rPr>
              <w:t>Article 46</w:t>
            </w:r>
          </w:p>
        </w:tc>
        <w:tc>
          <w:tcPr>
            <w:tcW w:w="7722" w:type="dxa"/>
          </w:tcPr>
          <w:p w14:paraId="3337CF53" w14:textId="77777777" w:rsidR="00FA649D" w:rsidRDefault="00FA649D" w:rsidP="000E7EA4">
            <w:pPr>
              <w:spacing w:before="60" w:after="60"/>
            </w:pPr>
            <w:r>
              <w:t>Droit de chasse et récréation en forêt</w:t>
            </w:r>
          </w:p>
        </w:tc>
      </w:tr>
      <w:tr w:rsidR="00FA649D" w14:paraId="5D2FB922" w14:textId="77777777" w:rsidTr="000E7EA4">
        <w:tc>
          <w:tcPr>
            <w:tcW w:w="1488" w:type="dxa"/>
          </w:tcPr>
          <w:p w14:paraId="103BC9AE" w14:textId="77777777" w:rsidR="00FA649D" w:rsidRDefault="00FA649D" w:rsidP="000E7EA4">
            <w:pPr>
              <w:spacing w:before="60" w:after="60"/>
              <w:rPr>
                <w:b/>
              </w:rPr>
            </w:pPr>
            <w:r>
              <w:rPr>
                <w:b/>
              </w:rPr>
              <w:t>Article 47</w:t>
            </w:r>
          </w:p>
        </w:tc>
        <w:tc>
          <w:tcPr>
            <w:tcW w:w="7722" w:type="dxa"/>
          </w:tcPr>
          <w:p w14:paraId="60B4DCC5" w14:textId="77777777" w:rsidR="00FA649D" w:rsidRDefault="00FA649D" w:rsidP="000E7EA4">
            <w:pPr>
              <w:spacing w:before="60" w:after="60"/>
            </w:pPr>
            <w:r>
              <w:t>Droit de chasse et circulation en forêt</w:t>
            </w:r>
          </w:p>
          <w:p w14:paraId="15865320" w14:textId="77777777" w:rsidR="00FA649D" w:rsidRDefault="00FA649D" w:rsidP="000E7EA4">
            <w:pPr>
              <w:spacing w:before="60" w:after="60"/>
            </w:pPr>
          </w:p>
        </w:tc>
      </w:tr>
      <w:tr w:rsidR="00FA649D" w14:paraId="07223985" w14:textId="77777777" w:rsidTr="000E7EA4">
        <w:trPr>
          <w:cantSplit/>
        </w:trPr>
        <w:tc>
          <w:tcPr>
            <w:tcW w:w="9210" w:type="dxa"/>
            <w:gridSpan w:val="2"/>
          </w:tcPr>
          <w:p w14:paraId="0ADE2446" w14:textId="77777777" w:rsidR="00FA649D" w:rsidRDefault="00FA649D" w:rsidP="000E7EA4">
            <w:pPr>
              <w:spacing w:before="60" w:after="60"/>
              <w:jc w:val="center"/>
              <w:rPr>
                <w:b/>
                <w:sz w:val="24"/>
                <w:u w:val="single"/>
              </w:rPr>
            </w:pPr>
            <w:r>
              <w:rPr>
                <w:b/>
                <w:sz w:val="24"/>
                <w:u w:val="single"/>
              </w:rPr>
              <w:t>Chapitre VI - Disposition en matière d'environnement</w:t>
            </w:r>
          </w:p>
        </w:tc>
      </w:tr>
      <w:tr w:rsidR="00FA649D" w14:paraId="1E880805" w14:textId="77777777" w:rsidTr="000E7EA4">
        <w:tc>
          <w:tcPr>
            <w:tcW w:w="1488" w:type="dxa"/>
          </w:tcPr>
          <w:p w14:paraId="47055D9C" w14:textId="77777777" w:rsidR="00FA649D" w:rsidRDefault="00FA649D" w:rsidP="000E7EA4">
            <w:pPr>
              <w:spacing w:before="60" w:after="60"/>
              <w:rPr>
                <w:b/>
              </w:rPr>
            </w:pPr>
            <w:r>
              <w:rPr>
                <w:b/>
              </w:rPr>
              <w:t>Article 48</w:t>
            </w:r>
          </w:p>
        </w:tc>
        <w:tc>
          <w:tcPr>
            <w:tcW w:w="7722" w:type="dxa"/>
          </w:tcPr>
          <w:p w14:paraId="33E50FA6" w14:textId="77777777" w:rsidR="00FA649D" w:rsidRDefault="00FA649D" w:rsidP="000E7EA4">
            <w:pPr>
              <w:spacing w:before="60" w:after="60"/>
            </w:pPr>
            <w:r>
              <w:t>Respect de l'environnement</w:t>
            </w:r>
          </w:p>
          <w:p w14:paraId="7596354F" w14:textId="77777777" w:rsidR="00FA649D" w:rsidRDefault="00FA649D" w:rsidP="000E7EA4">
            <w:pPr>
              <w:spacing w:before="60" w:after="60"/>
            </w:pPr>
          </w:p>
        </w:tc>
      </w:tr>
      <w:tr w:rsidR="00FA649D" w14:paraId="4E610B4B" w14:textId="77777777" w:rsidTr="000E7EA4">
        <w:trPr>
          <w:cantSplit/>
        </w:trPr>
        <w:tc>
          <w:tcPr>
            <w:tcW w:w="9210" w:type="dxa"/>
            <w:gridSpan w:val="2"/>
          </w:tcPr>
          <w:p w14:paraId="63A86614" w14:textId="77777777" w:rsidR="00FA649D" w:rsidRDefault="00FA649D" w:rsidP="000E7EA4">
            <w:pPr>
              <w:spacing w:before="60" w:after="60"/>
              <w:jc w:val="center"/>
              <w:rPr>
                <w:b/>
                <w:sz w:val="24"/>
                <w:u w:val="single"/>
              </w:rPr>
            </w:pPr>
            <w:r>
              <w:rPr>
                <w:b/>
                <w:sz w:val="24"/>
                <w:u w:val="single"/>
              </w:rPr>
              <w:t>Chapitre VII - Dispositions en matière de délégation et d'appel</w:t>
            </w:r>
          </w:p>
        </w:tc>
      </w:tr>
      <w:tr w:rsidR="00FA649D" w14:paraId="0ADB2911" w14:textId="77777777" w:rsidTr="000E7EA4">
        <w:tc>
          <w:tcPr>
            <w:tcW w:w="1488" w:type="dxa"/>
          </w:tcPr>
          <w:p w14:paraId="7BFB2A03" w14:textId="77777777" w:rsidR="00FA649D" w:rsidRDefault="00FA649D" w:rsidP="000E7EA4">
            <w:pPr>
              <w:spacing w:before="60" w:after="60"/>
              <w:rPr>
                <w:b/>
              </w:rPr>
            </w:pPr>
            <w:r>
              <w:rPr>
                <w:b/>
              </w:rPr>
              <w:t>Article 49</w:t>
            </w:r>
          </w:p>
        </w:tc>
        <w:tc>
          <w:tcPr>
            <w:tcW w:w="7722" w:type="dxa"/>
          </w:tcPr>
          <w:p w14:paraId="6D87B943" w14:textId="77777777" w:rsidR="00FA649D" w:rsidRDefault="00FA649D" w:rsidP="000E7EA4">
            <w:pPr>
              <w:spacing w:before="60" w:after="60"/>
            </w:pPr>
            <w:r>
              <w:t>Délégation</w:t>
            </w:r>
          </w:p>
        </w:tc>
      </w:tr>
      <w:tr w:rsidR="00FA649D" w14:paraId="72C95CB6" w14:textId="77777777" w:rsidTr="000E7EA4">
        <w:tc>
          <w:tcPr>
            <w:tcW w:w="1488" w:type="dxa"/>
          </w:tcPr>
          <w:p w14:paraId="14C3300B" w14:textId="77777777" w:rsidR="00FA649D" w:rsidRDefault="00FA649D" w:rsidP="000E7EA4">
            <w:pPr>
              <w:spacing w:before="60" w:after="60"/>
              <w:rPr>
                <w:b/>
              </w:rPr>
            </w:pPr>
            <w:r>
              <w:rPr>
                <w:b/>
              </w:rPr>
              <w:t>Article 50</w:t>
            </w:r>
          </w:p>
        </w:tc>
        <w:tc>
          <w:tcPr>
            <w:tcW w:w="7722" w:type="dxa"/>
          </w:tcPr>
          <w:p w14:paraId="1F16D8AF" w14:textId="77777777" w:rsidR="00FA649D" w:rsidRDefault="00FA649D" w:rsidP="000E7EA4">
            <w:pPr>
              <w:spacing w:before="60" w:after="60"/>
            </w:pPr>
            <w:r>
              <w:t>Appel</w:t>
            </w:r>
          </w:p>
          <w:p w14:paraId="4A837E60" w14:textId="77777777" w:rsidR="00FA649D" w:rsidRDefault="00FA649D" w:rsidP="000E7EA4">
            <w:pPr>
              <w:spacing w:before="60" w:after="60"/>
              <w:ind w:firstLine="708"/>
            </w:pPr>
          </w:p>
          <w:p w14:paraId="319409AF" w14:textId="77777777" w:rsidR="00FA649D" w:rsidRDefault="00FA649D" w:rsidP="000E7EA4">
            <w:pPr>
              <w:spacing w:before="60" w:after="60"/>
              <w:ind w:firstLine="708"/>
            </w:pPr>
          </w:p>
          <w:p w14:paraId="17444C21" w14:textId="77777777" w:rsidR="00FA649D" w:rsidRDefault="00FA649D" w:rsidP="000E7EA4">
            <w:pPr>
              <w:spacing w:before="60" w:after="60"/>
              <w:ind w:firstLine="708"/>
            </w:pPr>
          </w:p>
          <w:p w14:paraId="32294164" w14:textId="77777777" w:rsidR="00FA649D" w:rsidRDefault="00FA649D" w:rsidP="000E7EA4">
            <w:pPr>
              <w:spacing w:before="60" w:after="60"/>
              <w:ind w:firstLine="708"/>
            </w:pPr>
          </w:p>
          <w:p w14:paraId="73BE6407" w14:textId="77777777" w:rsidR="00FA649D" w:rsidRDefault="00FA649D" w:rsidP="000E7EA4">
            <w:pPr>
              <w:spacing w:before="60" w:after="60"/>
              <w:ind w:firstLine="708"/>
            </w:pPr>
          </w:p>
          <w:p w14:paraId="6A10646A" w14:textId="77777777" w:rsidR="00FA649D" w:rsidRDefault="00FA649D" w:rsidP="000E7EA4">
            <w:pPr>
              <w:spacing w:before="60" w:after="60"/>
              <w:ind w:firstLine="708"/>
            </w:pPr>
          </w:p>
          <w:p w14:paraId="11E92ABA" w14:textId="77777777" w:rsidR="00FA649D" w:rsidRDefault="00FA649D" w:rsidP="000E7EA4">
            <w:pPr>
              <w:spacing w:before="60" w:after="60"/>
              <w:ind w:firstLine="708"/>
            </w:pPr>
          </w:p>
          <w:p w14:paraId="3918CA7B" w14:textId="77777777" w:rsidR="00FA649D" w:rsidRDefault="00FA649D" w:rsidP="000E7EA4">
            <w:pPr>
              <w:spacing w:before="60" w:after="60"/>
            </w:pPr>
          </w:p>
          <w:p w14:paraId="5E42C8AF" w14:textId="77777777" w:rsidR="0053454F" w:rsidRDefault="0053454F" w:rsidP="000E7EA4">
            <w:pPr>
              <w:spacing w:before="60" w:after="60"/>
            </w:pPr>
          </w:p>
          <w:p w14:paraId="50458001" w14:textId="77777777" w:rsidR="0053454F" w:rsidRDefault="0053454F" w:rsidP="000E7EA4">
            <w:pPr>
              <w:spacing w:before="60" w:after="60"/>
            </w:pPr>
          </w:p>
          <w:p w14:paraId="318BEBD3" w14:textId="77777777" w:rsidR="0053454F" w:rsidRDefault="0053454F" w:rsidP="000E7EA4">
            <w:pPr>
              <w:spacing w:before="60" w:after="60"/>
            </w:pPr>
          </w:p>
          <w:p w14:paraId="1A8364B1" w14:textId="77777777" w:rsidR="0053454F" w:rsidRDefault="0053454F" w:rsidP="000E7EA4">
            <w:pPr>
              <w:spacing w:before="60" w:after="60"/>
            </w:pPr>
          </w:p>
          <w:p w14:paraId="071CB145" w14:textId="77777777" w:rsidR="00FA649D" w:rsidRDefault="00FA649D" w:rsidP="000E7EA4">
            <w:pPr>
              <w:spacing w:before="60" w:after="60"/>
              <w:ind w:firstLine="708"/>
            </w:pPr>
          </w:p>
        </w:tc>
      </w:tr>
      <w:tr w:rsidR="00FA649D" w14:paraId="5C3B728A" w14:textId="77777777" w:rsidTr="000E7EA4">
        <w:trPr>
          <w:cantSplit/>
        </w:trPr>
        <w:tc>
          <w:tcPr>
            <w:tcW w:w="9210" w:type="dxa"/>
            <w:gridSpan w:val="2"/>
          </w:tcPr>
          <w:p w14:paraId="31F6983F" w14:textId="77777777" w:rsidR="00FA649D" w:rsidRPr="000E7EA4" w:rsidRDefault="00FA649D" w:rsidP="000E7EA4">
            <w:pPr>
              <w:spacing w:before="60" w:after="60"/>
              <w:jc w:val="center"/>
              <w:rPr>
                <w:b/>
                <w:sz w:val="32"/>
                <w:szCs w:val="32"/>
                <w:u w:val="single"/>
              </w:rPr>
            </w:pPr>
            <w:r w:rsidRPr="000E7EA4">
              <w:rPr>
                <w:b/>
                <w:sz w:val="32"/>
                <w:szCs w:val="32"/>
                <w:u w:val="single"/>
              </w:rPr>
              <w:lastRenderedPageBreak/>
              <w:t>Annexes</w:t>
            </w:r>
          </w:p>
        </w:tc>
      </w:tr>
      <w:tr w:rsidR="00FA649D" w14:paraId="50626D82" w14:textId="77777777" w:rsidTr="000E7EA4">
        <w:tc>
          <w:tcPr>
            <w:tcW w:w="1488" w:type="dxa"/>
          </w:tcPr>
          <w:p w14:paraId="6FA6072D" w14:textId="77777777" w:rsidR="00FA649D" w:rsidRDefault="00FA649D" w:rsidP="000E7EA4">
            <w:pPr>
              <w:spacing w:before="60" w:after="60"/>
              <w:rPr>
                <w:b/>
              </w:rPr>
            </w:pPr>
            <w:r>
              <w:rPr>
                <w:b/>
              </w:rPr>
              <w:t>ANNEXE I</w:t>
            </w:r>
          </w:p>
        </w:tc>
        <w:tc>
          <w:tcPr>
            <w:tcW w:w="7722" w:type="dxa"/>
          </w:tcPr>
          <w:p w14:paraId="4F6E2A87" w14:textId="77777777" w:rsidR="00FA649D" w:rsidRDefault="00FA649D" w:rsidP="000E7EA4">
            <w:pPr>
              <w:spacing w:before="60" w:after="60"/>
            </w:pPr>
            <w:r>
              <w:t>Clauses particulières</w:t>
            </w:r>
          </w:p>
        </w:tc>
      </w:tr>
      <w:tr w:rsidR="00FA649D" w14:paraId="54461B53" w14:textId="77777777" w:rsidTr="000E7EA4">
        <w:tc>
          <w:tcPr>
            <w:tcW w:w="1488" w:type="dxa"/>
          </w:tcPr>
          <w:p w14:paraId="6B1006B7" w14:textId="77777777" w:rsidR="00FA649D" w:rsidRDefault="00FA649D" w:rsidP="000E7EA4">
            <w:pPr>
              <w:spacing w:before="60" w:after="60"/>
              <w:rPr>
                <w:b/>
              </w:rPr>
            </w:pPr>
            <w:r>
              <w:rPr>
                <w:b/>
              </w:rPr>
              <w:t>ANNEXE II</w:t>
            </w:r>
          </w:p>
        </w:tc>
        <w:tc>
          <w:tcPr>
            <w:tcW w:w="7722" w:type="dxa"/>
          </w:tcPr>
          <w:p w14:paraId="60DE894C" w14:textId="77777777" w:rsidR="00FA649D" w:rsidRDefault="00FA649D" w:rsidP="000E7EA4">
            <w:pPr>
              <w:spacing w:before="60" w:after="60"/>
            </w:pPr>
            <w:r>
              <w:t xml:space="preserve"> Caractéristiques du lot</w:t>
            </w:r>
          </w:p>
        </w:tc>
      </w:tr>
      <w:tr w:rsidR="00FA649D" w14:paraId="5D36232A" w14:textId="77777777" w:rsidTr="000E7EA4">
        <w:tc>
          <w:tcPr>
            <w:tcW w:w="1488" w:type="dxa"/>
          </w:tcPr>
          <w:p w14:paraId="20931C84" w14:textId="77777777" w:rsidR="00FA649D" w:rsidRDefault="00FA649D" w:rsidP="000E7EA4">
            <w:pPr>
              <w:spacing w:before="60" w:after="60"/>
              <w:rPr>
                <w:b/>
              </w:rPr>
            </w:pPr>
            <w:r>
              <w:rPr>
                <w:b/>
              </w:rPr>
              <w:t>ANNEXE III</w:t>
            </w:r>
          </w:p>
        </w:tc>
        <w:tc>
          <w:tcPr>
            <w:tcW w:w="7722" w:type="dxa"/>
          </w:tcPr>
          <w:p w14:paraId="46B9B3DE" w14:textId="77777777" w:rsidR="00FA649D" w:rsidRDefault="00FA649D" w:rsidP="000E7EA4">
            <w:pPr>
              <w:spacing w:before="60" w:after="60"/>
            </w:pPr>
            <w:r>
              <w:t xml:space="preserve"> Modèle de soumission</w:t>
            </w:r>
          </w:p>
        </w:tc>
      </w:tr>
      <w:tr w:rsidR="00FA649D" w14:paraId="514EE8C2" w14:textId="77777777" w:rsidTr="000E7EA4">
        <w:tc>
          <w:tcPr>
            <w:tcW w:w="1488" w:type="dxa"/>
          </w:tcPr>
          <w:p w14:paraId="00EFE218" w14:textId="77777777" w:rsidR="00FA649D" w:rsidRDefault="00FA649D" w:rsidP="000E7EA4">
            <w:pPr>
              <w:spacing w:before="60" w:after="60"/>
              <w:rPr>
                <w:b/>
              </w:rPr>
            </w:pPr>
            <w:r>
              <w:rPr>
                <w:b/>
              </w:rPr>
              <w:t>ANNEXE IV</w:t>
            </w:r>
          </w:p>
        </w:tc>
        <w:tc>
          <w:tcPr>
            <w:tcW w:w="7722" w:type="dxa"/>
          </w:tcPr>
          <w:p w14:paraId="0DC17269" w14:textId="77777777" w:rsidR="00FA649D" w:rsidRDefault="00FA649D" w:rsidP="000E7EA4">
            <w:pPr>
              <w:spacing w:before="60" w:after="60"/>
            </w:pPr>
            <w:r>
              <w:t>Avenant au cahier des charges : désignation ultérieure d'un associé - substitution d'un associé</w:t>
            </w:r>
          </w:p>
        </w:tc>
      </w:tr>
      <w:tr w:rsidR="00FA649D" w14:paraId="12370AF3" w14:textId="77777777" w:rsidTr="000E7EA4">
        <w:tc>
          <w:tcPr>
            <w:tcW w:w="1488" w:type="dxa"/>
          </w:tcPr>
          <w:p w14:paraId="5B442BCF" w14:textId="77777777" w:rsidR="00FA649D" w:rsidRDefault="00FA649D" w:rsidP="000E7EA4">
            <w:pPr>
              <w:spacing w:before="60" w:after="60"/>
              <w:rPr>
                <w:b/>
              </w:rPr>
            </w:pPr>
            <w:r>
              <w:rPr>
                <w:b/>
              </w:rPr>
              <w:t xml:space="preserve">ANNEXE V       </w:t>
            </w:r>
          </w:p>
        </w:tc>
        <w:tc>
          <w:tcPr>
            <w:tcW w:w="7722" w:type="dxa"/>
          </w:tcPr>
          <w:p w14:paraId="615197BD" w14:textId="77777777" w:rsidR="00FA649D" w:rsidRDefault="00FA649D" w:rsidP="000E7EA4">
            <w:pPr>
              <w:spacing w:before="60" w:after="60"/>
            </w:pPr>
            <w:r>
              <w:t>Modèle de promesse de caution bancaire</w:t>
            </w:r>
          </w:p>
        </w:tc>
      </w:tr>
      <w:tr w:rsidR="00FA649D" w14:paraId="7552CA6D" w14:textId="77777777" w:rsidTr="000E7EA4">
        <w:tc>
          <w:tcPr>
            <w:tcW w:w="1488" w:type="dxa"/>
          </w:tcPr>
          <w:p w14:paraId="64ABC539" w14:textId="77777777" w:rsidR="00FA649D" w:rsidRDefault="00FA649D" w:rsidP="000E7EA4">
            <w:pPr>
              <w:spacing w:before="60" w:after="60"/>
              <w:rPr>
                <w:b/>
              </w:rPr>
            </w:pPr>
            <w:r>
              <w:rPr>
                <w:b/>
              </w:rPr>
              <w:t>ANNEXE VI</w:t>
            </w:r>
          </w:p>
        </w:tc>
        <w:tc>
          <w:tcPr>
            <w:tcW w:w="7722" w:type="dxa"/>
          </w:tcPr>
          <w:p w14:paraId="2CB9F759" w14:textId="77777777" w:rsidR="00FA649D" w:rsidRDefault="00FA649D" w:rsidP="000E7EA4">
            <w:pPr>
              <w:spacing w:before="60" w:after="60"/>
            </w:pPr>
            <w:r>
              <w:t>Acte de cautionnement</w:t>
            </w:r>
          </w:p>
        </w:tc>
      </w:tr>
      <w:tr w:rsidR="00FA649D" w14:paraId="2C882AB9" w14:textId="77777777" w:rsidTr="000E7EA4">
        <w:tc>
          <w:tcPr>
            <w:tcW w:w="1488" w:type="dxa"/>
          </w:tcPr>
          <w:p w14:paraId="042CA12D" w14:textId="77777777" w:rsidR="00FA649D" w:rsidRDefault="00FA649D" w:rsidP="000E7EA4">
            <w:pPr>
              <w:spacing w:before="60" w:after="60"/>
              <w:rPr>
                <w:b/>
              </w:rPr>
            </w:pPr>
            <w:r>
              <w:rPr>
                <w:b/>
              </w:rPr>
              <w:t>ANNEXE VII</w:t>
            </w:r>
          </w:p>
        </w:tc>
        <w:tc>
          <w:tcPr>
            <w:tcW w:w="7722" w:type="dxa"/>
          </w:tcPr>
          <w:p w14:paraId="3F2FEC47" w14:textId="77777777" w:rsidR="00FA649D" w:rsidRDefault="00FA649D" w:rsidP="000E7EA4">
            <w:pPr>
              <w:spacing w:before="60" w:after="60"/>
            </w:pPr>
            <w:r>
              <w:t>Montant des indemnités en cas de non-respect des clauses du cahier des charges</w:t>
            </w:r>
          </w:p>
        </w:tc>
      </w:tr>
      <w:tr w:rsidR="00FA649D" w14:paraId="2A109391" w14:textId="77777777" w:rsidTr="000E7EA4">
        <w:tc>
          <w:tcPr>
            <w:tcW w:w="1488" w:type="dxa"/>
          </w:tcPr>
          <w:p w14:paraId="7EDBC741" w14:textId="77777777" w:rsidR="00FA649D" w:rsidRDefault="00FA649D" w:rsidP="000E7EA4">
            <w:pPr>
              <w:spacing w:before="60" w:after="60"/>
              <w:rPr>
                <w:b/>
              </w:rPr>
            </w:pPr>
            <w:r>
              <w:rPr>
                <w:b/>
              </w:rPr>
              <w:t>ANNEXE VIII</w:t>
            </w:r>
          </w:p>
        </w:tc>
        <w:tc>
          <w:tcPr>
            <w:tcW w:w="7722" w:type="dxa"/>
          </w:tcPr>
          <w:p w14:paraId="507816D4" w14:textId="77777777" w:rsidR="00FA649D" w:rsidRDefault="00FA649D" w:rsidP="000E7EA4">
            <w:pPr>
              <w:spacing w:before="60" w:after="60"/>
            </w:pPr>
            <w:r>
              <w:t>Modèle d'autorisation d'exercer la chasse à l'approche et à l'affût</w:t>
            </w:r>
          </w:p>
        </w:tc>
      </w:tr>
      <w:tr w:rsidR="00FA649D" w14:paraId="16958ABD" w14:textId="77777777" w:rsidTr="000E7EA4">
        <w:tc>
          <w:tcPr>
            <w:tcW w:w="1488" w:type="dxa"/>
          </w:tcPr>
          <w:p w14:paraId="58F9DF44" w14:textId="77777777" w:rsidR="00FA649D" w:rsidRDefault="00FA649D" w:rsidP="000E7EA4">
            <w:pPr>
              <w:spacing w:before="60" w:after="60"/>
              <w:rPr>
                <w:b/>
              </w:rPr>
            </w:pPr>
            <w:r>
              <w:rPr>
                <w:b/>
              </w:rPr>
              <w:t>ANNEXE IX</w:t>
            </w:r>
          </w:p>
        </w:tc>
        <w:tc>
          <w:tcPr>
            <w:tcW w:w="7722" w:type="dxa"/>
          </w:tcPr>
          <w:p w14:paraId="04F71962" w14:textId="77777777" w:rsidR="00FA649D" w:rsidRDefault="00FA649D" w:rsidP="000E7EA4">
            <w:pPr>
              <w:spacing w:before="60" w:after="60"/>
            </w:pPr>
            <w:r>
              <w:t>Modèle d'affiche pour l'annonce des actions de chasse</w:t>
            </w:r>
          </w:p>
        </w:tc>
      </w:tr>
      <w:tr w:rsidR="00FA649D" w14:paraId="2A9E367C" w14:textId="77777777" w:rsidTr="000E7EA4">
        <w:tc>
          <w:tcPr>
            <w:tcW w:w="1488" w:type="dxa"/>
          </w:tcPr>
          <w:p w14:paraId="01F828BD" w14:textId="77777777" w:rsidR="00FA649D" w:rsidRDefault="00FA649D" w:rsidP="000E7EA4">
            <w:pPr>
              <w:spacing w:before="60" w:after="60"/>
              <w:rPr>
                <w:b/>
              </w:rPr>
            </w:pPr>
            <w:r>
              <w:rPr>
                <w:b/>
              </w:rPr>
              <w:t>ANNEXE X</w:t>
            </w:r>
          </w:p>
        </w:tc>
        <w:tc>
          <w:tcPr>
            <w:tcW w:w="7722" w:type="dxa"/>
          </w:tcPr>
          <w:p w14:paraId="283F975B" w14:textId="77777777" w:rsidR="00FA649D" w:rsidRDefault="00FA649D" w:rsidP="000E7EA4">
            <w:pPr>
              <w:spacing w:before="60" w:after="60"/>
            </w:pPr>
            <w:r>
              <w:t>Glossaire</w:t>
            </w:r>
          </w:p>
        </w:tc>
      </w:tr>
      <w:tr w:rsidR="00FA649D" w14:paraId="19FFE518" w14:textId="77777777" w:rsidTr="000E7EA4">
        <w:tc>
          <w:tcPr>
            <w:tcW w:w="1488" w:type="dxa"/>
          </w:tcPr>
          <w:p w14:paraId="129CF4E9" w14:textId="77777777" w:rsidR="00FA649D" w:rsidRDefault="00FA649D" w:rsidP="000E7EA4">
            <w:pPr>
              <w:spacing w:before="60" w:after="60"/>
              <w:rPr>
                <w:b/>
              </w:rPr>
            </w:pPr>
          </w:p>
        </w:tc>
        <w:tc>
          <w:tcPr>
            <w:tcW w:w="7722" w:type="dxa"/>
          </w:tcPr>
          <w:p w14:paraId="2A6C5B86" w14:textId="77777777" w:rsidR="00FA649D" w:rsidRDefault="00FA649D" w:rsidP="000E7EA4">
            <w:pPr>
              <w:spacing w:before="60" w:after="60"/>
            </w:pPr>
          </w:p>
        </w:tc>
      </w:tr>
    </w:tbl>
    <w:p w14:paraId="09049327" w14:textId="77777777" w:rsidR="00FA649D" w:rsidRDefault="00FA649D" w:rsidP="00FA649D">
      <w:pPr>
        <w:spacing w:before="60" w:after="60"/>
      </w:pPr>
    </w:p>
    <w:p w14:paraId="0F8DF2F2" w14:textId="77777777" w:rsidR="00FA649D" w:rsidRDefault="00FA649D" w:rsidP="00FA649D">
      <w:pPr>
        <w:spacing w:before="60" w:after="60"/>
      </w:pPr>
    </w:p>
    <w:p w14:paraId="53ADF518" w14:textId="77777777" w:rsidR="00FA649D" w:rsidRDefault="00FA649D" w:rsidP="00FA649D">
      <w:pPr>
        <w:spacing w:before="60" w:after="60"/>
      </w:pPr>
    </w:p>
    <w:p w14:paraId="53A088FD" w14:textId="77777777" w:rsidR="00FA649D" w:rsidRDefault="00FA649D" w:rsidP="00FA649D">
      <w:pPr>
        <w:spacing w:before="60" w:after="60"/>
      </w:pPr>
    </w:p>
    <w:p w14:paraId="50B421A2" w14:textId="77777777" w:rsidR="00FA649D" w:rsidRDefault="00FA649D" w:rsidP="00FA649D">
      <w:pPr>
        <w:spacing w:before="60" w:after="60"/>
      </w:pPr>
    </w:p>
    <w:p w14:paraId="297B27E2" w14:textId="77777777" w:rsidR="00FA649D" w:rsidRDefault="00FA649D" w:rsidP="00FA649D">
      <w:pPr>
        <w:spacing w:before="60" w:after="60"/>
      </w:pPr>
    </w:p>
    <w:p w14:paraId="74B5CF62" w14:textId="77777777" w:rsidR="00FA649D" w:rsidRDefault="00FA649D" w:rsidP="00FA649D">
      <w:pPr>
        <w:spacing w:before="60" w:after="60"/>
      </w:pPr>
    </w:p>
    <w:p w14:paraId="7DE1CAF9" w14:textId="77777777" w:rsidR="00FA649D" w:rsidRDefault="00FA649D" w:rsidP="00FA649D">
      <w:pPr>
        <w:spacing w:before="60" w:after="60"/>
      </w:pPr>
    </w:p>
    <w:p w14:paraId="5A34B3B5" w14:textId="77777777" w:rsidR="00FA649D" w:rsidRDefault="00FA649D" w:rsidP="00FA649D">
      <w:pPr>
        <w:spacing w:before="60" w:after="60"/>
      </w:pPr>
    </w:p>
    <w:p w14:paraId="32DF0D55" w14:textId="77777777" w:rsidR="00FA649D" w:rsidRDefault="00FA649D" w:rsidP="00FA649D">
      <w:pPr>
        <w:spacing w:before="60" w:after="60"/>
      </w:pPr>
    </w:p>
    <w:p w14:paraId="320F42E8" w14:textId="77777777" w:rsidR="00FA649D" w:rsidRDefault="00FA649D" w:rsidP="00FA649D">
      <w:pPr>
        <w:spacing w:before="60" w:after="60"/>
      </w:pPr>
    </w:p>
    <w:p w14:paraId="0E868DA2" w14:textId="77777777" w:rsidR="00FA649D" w:rsidRDefault="00FA649D" w:rsidP="00FA649D">
      <w:pPr>
        <w:spacing w:before="60" w:after="60"/>
      </w:pPr>
    </w:p>
    <w:p w14:paraId="5AF4410A" w14:textId="77777777" w:rsidR="00FA649D" w:rsidRDefault="00FA649D" w:rsidP="00FA649D">
      <w:pPr>
        <w:spacing w:before="60" w:after="60"/>
      </w:pPr>
    </w:p>
    <w:p w14:paraId="676FF785" w14:textId="77777777" w:rsidR="00FA649D" w:rsidRDefault="00FA649D" w:rsidP="00FA649D">
      <w:pPr>
        <w:spacing w:before="60" w:after="60"/>
      </w:pPr>
    </w:p>
    <w:p w14:paraId="4D778FD1" w14:textId="77777777" w:rsidR="00FA649D" w:rsidRDefault="00FA649D" w:rsidP="00FA649D">
      <w:pPr>
        <w:spacing w:before="60" w:after="60"/>
      </w:pPr>
    </w:p>
    <w:p w14:paraId="7ED53158" w14:textId="77777777" w:rsidR="00FA649D" w:rsidRDefault="00FA649D" w:rsidP="00FA649D">
      <w:pPr>
        <w:spacing w:before="60" w:after="60"/>
      </w:pPr>
    </w:p>
    <w:p w14:paraId="53D2F6CD" w14:textId="77777777" w:rsidR="00FA649D" w:rsidRDefault="00FA649D" w:rsidP="00FA649D">
      <w:pPr>
        <w:spacing w:before="60" w:after="60"/>
      </w:pPr>
    </w:p>
    <w:p w14:paraId="5F52FDCC" w14:textId="77777777" w:rsidR="00FA649D" w:rsidRDefault="00FA649D" w:rsidP="00FA649D">
      <w:pPr>
        <w:spacing w:before="60" w:after="60"/>
      </w:pPr>
    </w:p>
    <w:p w14:paraId="0DDF6776" w14:textId="77777777" w:rsidR="00FA649D" w:rsidRDefault="00FA649D" w:rsidP="00FA649D">
      <w:pPr>
        <w:spacing w:before="60" w:after="60"/>
      </w:pPr>
    </w:p>
    <w:p w14:paraId="3B89FE30" w14:textId="77777777" w:rsidR="0053454F" w:rsidRDefault="0053454F" w:rsidP="00FA649D">
      <w:pPr>
        <w:spacing w:before="60" w:after="60"/>
      </w:pPr>
    </w:p>
    <w:p w14:paraId="098D08C0" w14:textId="77777777" w:rsidR="0053454F" w:rsidRDefault="0053454F" w:rsidP="00FA649D">
      <w:pPr>
        <w:spacing w:before="60" w:after="60"/>
      </w:pPr>
    </w:p>
    <w:p w14:paraId="36838DF8" w14:textId="77777777" w:rsidR="0053454F" w:rsidRDefault="0053454F" w:rsidP="00FA649D">
      <w:pPr>
        <w:spacing w:before="60" w:after="60"/>
      </w:pPr>
    </w:p>
    <w:p w14:paraId="0711126F" w14:textId="77777777" w:rsidR="0053454F" w:rsidRDefault="0053454F" w:rsidP="00FA649D">
      <w:pPr>
        <w:spacing w:before="60" w:after="60"/>
      </w:pPr>
    </w:p>
    <w:p w14:paraId="66FCAC4B" w14:textId="77777777" w:rsidR="0053454F" w:rsidRDefault="0053454F" w:rsidP="00FA649D">
      <w:pPr>
        <w:spacing w:before="60" w:after="60"/>
      </w:pPr>
    </w:p>
    <w:p w14:paraId="4E90C001" w14:textId="77777777" w:rsidR="00FA649D" w:rsidRDefault="00FA649D" w:rsidP="00FA649D">
      <w:pPr>
        <w:spacing w:before="60" w:after="60"/>
      </w:pPr>
    </w:p>
    <w:p w14:paraId="2222D1AA" w14:textId="77777777" w:rsidR="00FA649D" w:rsidRDefault="00FA649D" w:rsidP="00FA649D">
      <w:pPr>
        <w:spacing w:before="60" w:after="60"/>
      </w:pPr>
    </w:p>
    <w:p w14:paraId="2CD21E6E" w14:textId="77777777" w:rsidR="00FA649D" w:rsidRDefault="00FA649D" w:rsidP="00FA649D">
      <w:pPr>
        <w:spacing w:before="60" w:after="60"/>
      </w:pPr>
    </w:p>
    <w:p w14:paraId="13E63A3B" w14:textId="77777777" w:rsidR="00FA649D" w:rsidRDefault="00FA649D" w:rsidP="00FA649D">
      <w:pPr>
        <w:spacing w:before="60" w:after="60"/>
      </w:pPr>
    </w:p>
    <w:p w14:paraId="02549BDD" w14:textId="77777777" w:rsidR="00FA649D" w:rsidRDefault="00FA649D" w:rsidP="00FA649D">
      <w:pPr>
        <w:spacing w:before="60" w:after="60"/>
      </w:pPr>
    </w:p>
    <w:p w14:paraId="02EC2A22" w14:textId="77777777" w:rsidR="00FA649D" w:rsidRDefault="00FA649D" w:rsidP="00FA649D">
      <w:pPr>
        <w:spacing w:before="60" w:after="60"/>
      </w:pPr>
    </w:p>
    <w:p w14:paraId="3918FA59" w14:textId="77777777" w:rsidR="00FA649D" w:rsidRDefault="00FA649D" w:rsidP="00FA649D">
      <w:pPr>
        <w:spacing w:before="60" w:after="60"/>
      </w:pPr>
    </w:p>
    <w:p w14:paraId="0E490850" w14:textId="77777777" w:rsidR="00FA649D" w:rsidRDefault="00FA649D" w:rsidP="00FA649D">
      <w:pPr>
        <w:spacing w:before="60" w:after="60"/>
      </w:pPr>
    </w:p>
    <w:p w14:paraId="22D0AB0C" w14:textId="77777777" w:rsidR="00FA649D" w:rsidRDefault="00FA649D" w:rsidP="00FA649D">
      <w:pPr>
        <w:pStyle w:val="Chapitre"/>
      </w:pPr>
      <w:r>
        <w:lastRenderedPageBreak/>
        <w:t>Dispositions générales</w:t>
      </w:r>
    </w:p>
    <w:p w14:paraId="3A3EB7DD" w14:textId="77777777" w:rsidR="00FA649D" w:rsidRDefault="00FA649D" w:rsidP="00FA649D">
      <w:pPr>
        <w:pStyle w:val="Article"/>
      </w:pPr>
      <w:r>
        <w:t>Cadre général.</w:t>
      </w:r>
    </w:p>
    <w:p w14:paraId="13205E39" w14:textId="76790307" w:rsidR="00FA649D" w:rsidRPr="000E7EA4" w:rsidRDefault="00FA649D" w:rsidP="00FA649D">
      <w:r>
        <w:t>L'exercice du droit de chasse en forêt communale doit s'inscrire dans le cadre d’une gestion intégrée des bois et forêts soumis au régime forestier tenant compte des impératifs de production forestière, d'accueil du public, de protection des eaux et des sols,</w:t>
      </w:r>
      <w:r w:rsidR="0072536D">
        <w:t xml:space="preserve"> </w:t>
      </w:r>
      <w:r>
        <w:t>de conservation de la flore et de la faune sauvages et de la certification PEFC.</w:t>
      </w:r>
    </w:p>
    <w:p w14:paraId="5BCB6861" w14:textId="77777777" w:rsidR="00FA649D" w:rsidRPr="00A65D5B" w:rsidRDefault="00FA649D" w:rsidP="00FA649D">
      <w:pPr>
        <w:rPr>
          <w:lang w:val="fr-BE"/>
        </w:rPr>
      </w:pPr>
      <w:r w:rsidRPr="00A65D5B">
        <w:rPr>
          <w:lang w:val="fr-BE"/>
        </w:rPr>
        <w:t xml:space="preserve"> Le locataire met tout en œuvre pour contribuer au travers de l’exercice de son droit de chasse au respect des exigences de gestion imposées par la certification en vigueur lors de l’attribution du lot et ses versions ultérieures. Le locataire veille en particulier à maintenir les populations de grand gibier à un niveau permettant la régénération de la forêt et à ne pas entraver ou dissuader l’accès aux voiries publiques traversant ou longeant les forêts, sans préjudice des interdictions de circulation qui peuvent être accordées par les autorités compétentes pour des motifs de sécurité. </w:t>
      </w:r>
    </w:p>
    <w:p w14:paraId="25702981" w14:textId="77777777" w:rsidR="00FA649D" w:rsidRDefault="00FA649D" w:rsidP="00FA649D">
      <w:r w:rsidRPr="00A65D5B">
        <w:rPr>
          <w:lang w:val="fr-BE"/>
        </w:rPr>
        <w:t>Dans le cadre de la certification de gestion forestière durable « PEFC », le locataire s’engage à collaborer avec l’auditeur PEFC en facilitant l’accès aux terrains loués et en lui fournissant toutes les informations nécessaires à la bonne conduite de l’audit. Il accepte de se rendre disponible, sur demande raisonnable, pour toute rencontre requise dans le cadre de la certification.</w:t>
      </w:r>
    </w:p>
    <w:p w14:paraId="5AF512A7" w14:textId="77777777" w:rsidR="00FA649D" w:rsidRDefault="00FA649D" w:rsidP="00FA649D">
      <w:pPr>
        <w:pStyle w:val="Article"/>
      </w:pPr>
      <w:r>
        <w:t>Clauses générales et particulières du cahier des charges.</w:t>
      </w:r>
    </w:p>
    <w:p w14:paraId="06D973E0" w14:textId="77777777" w:rsidR="00FA649D" w:rsidRDefault="00FA649D" w:rsidP="00FA649D">
      <w:r>
        <w:t>L’exercice du droit de chasse dans la forêt communale mentionnée sous couverture se fait conformément aux clauses générales et particulières du cahier des charges, sans préjudice des dispositions de la loi sur la chasse et de ses arrêtés d’exécution. Les clauses particulières figurent à l’ann</w:t>
      </w:r>
      <w:bookmarkStart w:id="0" w:name="_Hlt100397555"/>
      <w:r>
        <w:t>e</w:t>
      </w:r>
      <w:bookmarkStart w:id="1" w:name="_Hlt127766238"/>
      <w:bookmarkEnd w:id="0"/>
      <w:r>
        <w:t>x</w:t>
      </w:r>
      <w:bookmarkEnd w:id="1"/>
      <w:r>
        <w:t>e I du cahier des charges.</w:t>
      </w:r>
    </w:p>
    <w:p w14:paraId="5F3F1EBB" w14:textId="77777777" w:rsidR="00FA649D" w:rsidRDefault="00FA649D" w:rsidP="00FA649D">
      <w:pPr>
        <w:pStyle w:val="Article"/>
      </w:pPr>
      <w:r>
        <w:t>Présomption de connaissance.</w:t>
      </w:r>
    </w:p>
    <w:p w14:paraId="138ADB48" w14:textId="77777777" w:rsidR="00FA649D" w:rsidRDefault="00FA649D" w:rsidP="00FA649D">
      <w:r>
        <w:t>En signant le présent cahier des charges, le locataire – et son ou ses associés éventuels - reconnaît avoir pris connaissance de toutes les clauses générales et particulières du présent cahier des charges et y adhérer sans restriction aucune.</w:t>
      </w:r>
    </w:p>
    <w:p w14:paraId="510B097C" w14:textId="77777777" w:rsidR="00FA649D" w:rsidRDefault="00FA649D" w:rsidP="00FA649D">
      <w:pPr>
        <w:pStyle w:val="Chapitre"/>
      </w:pPr>
      <w:r>
        <w:t>Dispositions administratives</w:t>
      </w:r>
    </w:p>
    <w:p w14:paraId="2F77B9F5" w14:textId="77777777" w:rsidR="00FA649D" w:rsidRDefault="00FA649D" w:rsidP="00FA649D">
      <w:pPr>
        <w:pStyle w:val="Article"/>
      </w:pPr>
      <w:r>
        <w:t>Objet de la location.</w:t>
      </w:r>
    </w:p>
    <w:p w14:paraId="1F25B2AA" w14:textId="77777777" w:rsidR="00FA649D" w:rsidRDefault="00FA649D" w:rsidP="00FA649D">
      <w:pPr>
        <w:pStyle w:val="ArticleNiv2"/>
      </w:pPr>
      <w:r>
        <w:t>La location du droit de chasse dans la forêt communale a lieu de gré à gré suivant la décision du Conseil communal du 26 mars 2026. Les caractéristiques du lot sont reprises à l’</w:t>
      </w:r>
      <w:bookmarkStart w:id="2" w:name="Annexe_I"/>
      <w:r>
        <w:t>anne</w:t>
      </w:r>
      <w:bookmarkStart w:id="3" w:name="_Hlt127766148"/>
      <w:r>
        <w:t>x</w:t>
      </w:r>
      <w:bookmarkEnd w:id="3"/>
      <w:r>
        <w:t xml:space="preserve">e </w:t>
      </w:r>
      <w:bookmarkStart w:id="4" w:name="_Hlt127765918"/>
      <w:r>
        <w:t>I</w:t>
      </w:r>
      <w:bookmarkEnd w:id="4"/>
      <w:r>
        <w:t>I</w:t>
      </w:r>
      <w:bookmarkEnd w:id="2"/>
      <w:r>
        <w:t>.</w:t>
      </w:r>
    </w:p>
    <w:p w14:paraId="0443E241" w14:textId="77777777" w:rsidR="00FA649D" w:rsidRDefault="00FA649D" w:rsidP="00FA649D">
      <w:pPr>
        <w:pStyle w:val="ArticleNiv2"/>
      </w:pPr>
      <w:r>
        <w:t>Les surfaces renseignées à l’annexe II ne sont pas garanties et toute erreur d’estimation, quelle qu’elle soit, n’autorise ni le bailleur ni le locataire à demander l’annulation du bail ou une révision du montant du loyer.</w:t>
      </w:r>
    </w:p>
    <w:p w14:paraId="3B4B7775" w14:textId="77777777" w:rsidR="00FA649D" w:rsidRDefault="00FA649D" w:rsidP="00FA649D">
      <w:pPr>
        <w:pStyle w:val="ArticleNiv2"/>
      </w:pPr>
      <w:r>
        <w:t>Les pavillons et abris forestiers ne sont pas compris dans la location. Si le locataire souhaite les occuper dans le cadre de l’exercice de la chasse, il en sollicite l’autorisation auprès du Collège communal qui, s’il l’accorde, en fixe les conditions.</w:t>
      </w:r>
    </w:p>
    <w:p w14:paraId="5932A4E9" w14:textId="77777777" w:rsidR="00FA649D" w:rsidRDefault="00FA649D" w:rsidP="00FA649D">
      <w:pPr>
        <w:pStyle w:val="Article"/>
      </w:pPr>
      <w:r>
        <w:t>Durée du bail.</w:t>
      </w:r>
    </w:p>
    <w:p w14:paraId="06ED5D95" w14:textId="77777777" w:rsidR="00FA649D" w:rsidRDefault="00FA649D" w:rsidP="00FA649D">
      <w:r>
        <w:t>Sauf circonstances particulières, le bail pour la location du droit de chasse en forêt communale est consenti pour une période qui s’étendra jusqu’au 30 juin 2032 sans tacite reconduction. Sauf disposition prévue à l’annexe I, une année de location s’étend, en règle générale, du 1</w:t>
      </w:r>
      <w:r w:rsidRPr="00AA5515">
        <w:rPr>
          <w:vertAlign w:val="superscript"/>
        </w:rPr>
        <w:t>er</w:t>
      </w:r>
      <w:r>
        <w:t xml:space="preserve"> juillet au 30 juin de l’année suivante.</w:t>
      </w:r>
    </w:p>
    <w:p w14:paraId="3BBAB2CD" w14:textId="37AD899E" w:rsidR="00FA649D" w:rsidRDefault="00FA649D" w:rsidP="00FA649D">
      <w:r>
        <w:t xml:space="preserve">L’intention du Collège communal à terme est de proposer des baux de chasse pour une durée limitée à 6 années sans prolongation ni </w:t>
      </w:r>
      <w:proofErr w:type="gramStart"/>
      <w:r>
        <w:t>renouvellement tacites</w:t>
      </w:r>
      <w:proofErr w:type="gramEnd"/>
      <w:r>
        <w:t>.</w:t>
      </w:r>
    </w:p>
    <w:p w14:paraId="046A23D0" w14:textId="77777777" w:rsidR="00FA649D" w:rsidRDefault="00FA649D" w:rsidP="00FA649D">
      <w:pPr>
        <w:pStyle w:val="Article"/>
      </w:pPr>
      <w:r>
        <w:t>Mandataire.</w:t>
      </w:r>
    </w:p>
    <w:p w14:paraId="76ECA505" w14:textId="77777777" w:rsidR="00FA649D" w:rsidRDefault="00FA649D" w:rsidP="00FA649D">
      <w:r>
        <w:t xml:space="preserve">Le locataire sortant peut mandater une personne pour le représenter lors de la séance de location visée à l’article 8. </w:t>
      </w:r>
      <w:r w:rsidRPr="00404A8B">
        <w:t xml:space="preserve">Il convient de préciser que cette séance ne constitue pas </w:t>
      </w:r>
      <w:r>
        <w:t xml:space="preserve">obligatoirement </w:t>
      </w:r>
      <w:r w:rsidRPr="00404A8B">
        <w:t>une réunion au sens traditionnel du terme, mais correspond plutôt au moment désigné pour la remise des documents.</w:t>
      </w:r>
      <w:r>
        <w:t xml:space="preserve"> Le mandataire ne peut représenter valablement son mandant que s’il est en possession d’une procuration écrite du mandant dressée par acte authentique ou par acte sous seing privé avec signature légalisée du mandant</w:t>
      </w:r>
    </w:p>
    <w:p w14:paraId="6FCA91D4" w14:textId="77777777" w:rsidR="0053454F" w:rsidRDefault="0053454F" w:rsidP="00FA649D"/>
    <w:p w14:paraId="219E60DE" w14:textId="77777777" w:rsidR="0053454F" w:rsidRDefault="0053454F" w:rsidP="00FA649D"/>
    <w:p w14:paraId="6F83B570" w14:textId="77777777" w:rsidR="00FA649D" w:rsidRDefault="00FA649D" w:rsidP="00FA649D">
      <w:pPr>
        <w:pStyle w:val="Article"/>
      </w:pPr>
      <w:r>
        <w:lastRenderedPageBreak/>
        <w:t>Conditions à remplir pour pouvoir être locataire du droit de chasse.</w:t>
      </w:r>
    </w:p>
    <w:p w14:paraId="2AD47702" w14:textId="77777777" w:rsidR="00FA649D" w:rsidRDefault="00FA649D" w:rsidP="00FA649D">
      <w:pPr>
        <w:pStyle w:val="ArticleNiv2"/>
      </w:pPr>
      <w:r>
        <w:t>Au plus tard avant le début de la séance de location visée à l'article 8, le locataire est tenu de faire parvenir au bailleur les documents suivants :</w:t>
      </w:r>
    </w:p>
    <w:p w14:paraId="33E6622B" w14:textId="77777777" w:rsidR="00FA649D" w:rsidRDefault="00FA649D" w:rsidP="00FA649D">
      <w:pPr>
        <w:pStyle w:val="ArticleNiv3"/>
      </w:pPr>
      <w:proofErr w:type="gramStart"/>
      <w:r>
        <w:t>la</w:t>
      </w:r>
      <w:proofErr w:type="gramEnd"/>
      <w:r>
        <w:t xml:space="preserve"> preuve de la possession d’un permis de chasse valable délivré en Région wallonne pour l’année cynégétique en cours ;</w:t>
      </w:r>
    </w:p>
    <w:p w14:paraId="2850C851" w14:textId="77777777" w:rsidR="00FA649D" w:rsidRDefault="00FA649D" w:rsidP="00FA649D">
      <w:pPr>
        <w:pStyle w:val="ArticleNiv3"/>
      </w:pPr>
      <w:proofErr w:type="gramStart"/>
      <w:r>
        <w:t>un</w:t>
      </w:r>
      <w:proofErr w:type="gramEnd"/>
      <w:r>
        <w:t xml:space="preserve"> certificat de bonnes conduite, vie et mœurs délivré par l’administration communale du domicile du locataire, daté de moins de deux mois ou, pour le locataire résidant à l’étranger, le document officiel correspondant en usage dans leur pays de résidence et daté également de moins de deux mois ;</w:t>
      </w:r>
    </w:p>
    <w:p w14:paraId="3E2183D9" w14:textId="1B7611D7" w:rsidR="00FA649D" w:rsidRPr="004B4DB7" w:rsidRDefault="00FA649D" w:rsidP="00FA649D">
      <w:pPr>
        <w:pStyle w:val="ArticleNiv3"/>
      </w:pPr>
      <w:proofErr w:type="gramStart"/>
      <w:r w:rsidRPr="004B4DB7">
        <w:t>une</w:t>
      </w:r>
      <w:proofErr w:type="gramEnd"/>
      <w:r w:rsidRPr="004B4DB7">
        <w:t xml:space="preserve"> promesse de caution bancaire, conforme à l’article 1</w:t>
      </w:r>
      <w:r>
        <w:t>1</w:t>
      </w:r>
      <w:r w:rsidRPr="004B4DB7">
        <w:t>, alinéa 1</w:t>
      </w:r>
      <w:r w:rsidRPr="004B4DB7">
        <w:rPr>
          <w:vertAlign w:val="superscript"/>
        </w:rPr>
        <w:t>er</w:t>
      </w:r>
      <w:r w:rsidRPr="004B4DB7">
        <w:t xml:space="preserve"> et au modèle repris à l’annexe V, d’un montant équivalant au loyer annuel demandé par la commune pour louer le droit de chasse ;</w:t>
      </w:r>
    </w:p>
    <w:p w14:paraId="26CBED0E" w14:textId="77777777" w:rsidR="00FA649D" w:rsidRDefault="00FA649D" w:rsidP="00FA649D">
      <w:pPr>
        <w:pStyle w:val="ArticleNiv3"/>
      </w:pPr>
      <w:proofErr w:type="gramStart"/>
      <w:r>
        <w:t>le</w:t>
      </w:r>
      <w:proofErr w:type="gramEnd"/>
      <w:r>
        <w:t xml:space="preserve"> cas échéant, le présent cahier des charges dûment signé pour approbation par son ou ses associés ainsi que les documents les concernant visés sous les points a) et b) précédents ;</w:t>
      </w:r>
    </w:p>
    <w:p w14:paraId="78520807" w14:textId="77777777" w:rsidR="00FA649D" w:rsidRDefault="00FA649D" w:rsidP="00FA649D">
      <w:pPr>
        <w:pStyle w:val="ArticleNiv3"/>
      </w:pPr>
      <w:proofErr w:type="gramStart"/>
      <w:r>
        <w:t>le</w:t>
      </w:r>
      <w:proofErr w:type="gramEnd"/>
      <w:r>
        <w:t xml:space="preserve"> cas échéant, la procuration écrite du mandant.</w:t>
      </w:r>
    </w:p>
    <w:p w14:paraId="10BEC4F9" w14:textId="77777777" w:rsidR="0072536D" w:rsidRPr="0072536D" w:rsidRDefault="0072536D" w:rsidP="0072536D"/>
    <w:p w14:paraId="7E0ADB7E" w14:textId="77777777" w:rsidR="00FA649D" w:rsidRDefault="00FA649D" w:rsidP="00FA649D">
      <w:pPr>
        <w:ind w:left="357"/>
      </w:pPr>
      <w:r>
        <w:t>De plus, il doit :</w:t>
      </w:r>
    </w:p>
    <w:p w14:paraId="019360CC" w14:textId="77777777" w:rsidR="00FA649D" w:rsidRDefault="00FA649D" w:rsidP="00FA649D">
      <w:pPr>
        <w:pStyle w:val="ArticleNiv3"/>
        <w:ind w:left="454"/>
      </w:pPr>
      <w:r>
        <w:t>-   être une seule personne physique ;</w:t>
      </w:r>
    </w:p>
    <w:p w14:paraId="0DF51481" w14:textId="77777777" w:rsidR="00FA649D" w:rsidRDefault="00FA649D" w:rsidP="00FA649D">
      <w:pPr>
        <w:pStyle w:val="ArticleNiv3"/>
      </w:pPr>
      <w:r>
        <w:t xml:space="preserve"> - n’avoir fait l’objet, depuis la délivrance du permis de chasse visé sous a) alinéa 1</w:t>
      </w:r>
      <w:r>
        <w:rPr>
          <w:vertAlign w:val="superscript"/>
        </w:rPr>
        <w:t>er</w:t>
      </w:r>
      <w:r>
        <w:t>, d’aucune condamnation pénale définitive entraînant d’office le refus de la délivrance du permis de chasse en application des dispositions légales régissant la délivrance des permis et licences de chasse ;</w:t>
      </w:r>
    </w:p>
    <w:p w14:paraId="0E205AA8" w14:textId="77777777" w:rsidR="00FA649D" w:rsidRDefault="00FA649D" w:rsidP="00FA649D">
      <w:pPr>
        <w:pStyle w:val="ArticleNiv3"/>
      </w:pPr>
      <w:r>
        <w:t xml:space="preserve"> -  n’avoir jamais fait l’objet dans le passé d’une résiliation de bail de chasse à ses torts en forêt communale de la commune sous couverture ;</w:t>
      </w:r>
    </w:p>
    <w:p w14:paraId="0A428A15" w14:textId="77777777" w:rsidR="00FA649D" w:rsidRDefault="00FA649D" w:rsidP="00FA649D">
      <w:pPr>
        <w:pStyle w:val="ArticleNiv2"/>
      </w:pPr>
      <w:r>
        <w:t>A défaut de remplir les conditions visées à l'alinéa 1</w:t>
      </w:r>
      <w:r>
        <w:rPr>
          <w:vertAlign w:val="superscript"/>
        </w:rPr>
        <w:t>er</w:t>
      </w:r>
      <w:r>
        <w:t>, la disposition prévue à l'article 8 est d'application.</w:t>
      </w:r>
    </w:p>
    <w:p w14:paraId="35B7F573" w14:textId="77777777" w:rsidR="00FA649D" w:rsidRDefault="00FA649D" w:rsidP="00FA649D">
      <w:pPr>
        <w:pStyle w:val="Article"/>
      </w:pPr>
      <w:r>
        <w:t>Procédure de location.</w:t>
      </w:r>
    </w:p>
    <w:p w14:paraId="6D50063E" w14:textId="77777777" w:rsidR="00FA649D" w:rsidRDefault="00FA649D" w:rsidP="00FA649D">
      <w:pPr>
        <w:pStyle w:val="ArticleNiv2"/>
      </w:pPr>
      <w:r>
        <w:t xml:space="preserve">Sous réserve de l'application de l'alinéa 4, pour chacun des lots de la forêt communale mentionnée sous couverture, la location du droit de chasse est proposée de gré à gré au locataire sortant aux conditions visées par les clauses générales et particulières du présent cahier des charges et adoptées par le conseil communal après évaluation positive de la Commune après concertation du SPW DNF du Cantonnement de Habay  </w:t>
      </w:r>
    </w:p>
    <w:p w14:paraId="320C695E" w14:textId="77777777" w:rsidR="00FA649D" w:rsidRDefault="00FA649D" w:rsidP="00FA649D">
      <w:r>
        <w:rPr>
          <w:u w:val="single"/>
        </w:rPr>
        <w:t>Critères pris en compte :</w:t>
      </w:r>
    </w:p>
    <w:p w14:paraId="213303E8" w14:textId="77777777" w:rsidR="00FA649D" w:rsidRDefault="00FA649D" w:rsidP="00FA649D">
      <w:pPr>
        <w:numPr>
          <w:ilvl w:val="0"/>
          <w:numId w:val="5"/>
        </w:numPr>
        <w:spacing w:before="0" w:after="0"/>
      </w:pPr>
      <w:r>
        <w:t>Gestion du domaine de chasse</w:t>
      </w:r>
    </w:p>
    <w:p w14:paraId="3D299D12" w14:textId="77777777" w:rsidR="00FA649D" w:rsidRDefault="00FA649D" w:rsidP="00FA649D">
      <w:pPr>
        <w:numPr>
          <w:ilvl w:val="0"/>
          <w:numId w:val="5"/>
        </w:numPr>
        <w:spacing w:before="0" w:after="0"/>
      </w:pPr>
      <w:r>
        <w:t>Gestion des préventions « dégâts gibiers » et suivi des dommages</w:t>
      </w:r>
    </w:p>
    <w:p w14:paraId="007B8174" w14:textId="77777777" w:rsidR="00FA649D" w:rsidRDefault="00FA649D" w:rsidP="00FA649D">
      <w:pPr>
        <w:numPr>
          <w:ilvl w:val="0"/>
          <w:numId w:val="5"/>
        </w:numPr>
        <w:spacing w:before="0" w:after="0"/>
      </w:pPr>
      <w:r>
        <w:t>Respect des consignes du SPW et des directives du Conseil cynégétique</w:t>
      </w:r>
    </w:p>
    <w:p w14:paraId="1D21DE50" w14:textId="77777777" w:rsidR="00FA649D" w:rsidRDefault="00FA649D" w:rsidP="00FA649D">
      <w:pPr>
        <w:numPr>
          <w:ilvl w:val="0"/>
          <w:numId w:val="5"/>
        </w:numPr>
        <w:spacing w:before="0" w:after="0"/>
      </w:pPr>
      <w:r>
        <w:t>Respect des conditions du cahier des charges et des clauses particulières</w:t>
      </w:r>
    </w:p>
    <w:p w14:paraId="375A6C1F" w14:textId="77777777" w:rsidR="00FA649D" w:rsidRDefault="00FA649D" w:rsidP="00FA649D">
      <w:pPr>
        <w:numPr>
          <w:ilvl w:val="0"/>
          <w:numId w:val="5"/>
        </w:numPr>
        <w:spacing w:before="0" w:after="0"/>
      </w:pPr>
      <w:r>
        <w:t>Respect des conventions de chasse et ‘’cohabitation ‘’ avec les territoires voisins</w:t>
      </w:r>
    </w:p>
    <w:p w14:paraId="22F2A410" w14:textId="77777777" w:rsidR="00FA649D" w:rsidRDefault="00FA649D" w:rsidP="00FA649D">
      <w:pPr>
        <w:numPr>
          <w:ilvl w:val="0"/>
          <w:numId w:val="5"/>
        </w:numPr>
        <w:spacing w:before="0" w:after="0"/>
      </w:pPr>
      <w:r>
        <w:t>Règlement des charges financières imposées</w:t>
      </w:r>
    </w:p>
    <w:p w14:paraId="518CBDD9" w14:textId="77777777" w:rsidR="00FA649D" w:rsidRDefault="00FA649D" w:rsidP="00FA649D">
      <w:pPr>
        <w:spacing w:before="0" w:after="0"/>
        <w:ind w:left="720"/>
      </w:pPr>
    </w:p>
    <w:p w14:paraId="1F5C04FA" w14:textId="77777777" w:rsidR="00FA649D" w:rsidRPr="00E14DD1" w:rsidRDefault="00FA649D" w:rsidP="00FA649D">
      <w:r>
        <w:t>A cette fin, le Collège communal fixe la date, l'heure et le lieu de la remise de l’acceptation de la proposition et des conditions.</w:t>
      </w:r>
    </w:p>
    <w:p w14:paraId="2837A7D0" w14:textId="77777777" w:rsidR="00FA649D" w:rsidRPr="006A28B5" w:rsidRDefault="00FA649D" w:rsidP="00FA649D"/>
    <w:p w14:paraId="7A2DAADB" w14:textId="77777777" w:rsidR="00FA649D" w:rsidRDefault="00FA649D" w:rsidP="00FA649D">
      <w:pPr>
        <w:pStyle w:val="ArticleNiv2"/>
      </w:pPr>
      <w:r>
        <w:t>Deux mois avant la date de clôture du bail, le Collège communal notifie au locataire, par lettre recommandée, son intention de lui louer le droit de chasse pour une nouvelle période s’étendant jusqu’au 30 juin 2032, le dépôt à la poste valant notification à partir du lendemain.</w:t>
      </w:r>
    </w:p>
    <w:p w14:paraId="45007AA9" w14:textId="77777777" w:rsidR="00FA649D" w:rsidRDefault="00FA649D" w:rsidP="00FA649D">
      <w:pPr>
        <w:ind w:left="454"/>
      </w:pPr>
      <w:r>
        <w:t>La lettre doit nécessairement contenir les informations suivantes :</w:t>
      </w:r>
    </w:p>
    <w:p w14:paraId="3E6E7CD6" w14:textId="77777777" w:rsidR="00FA649D" w:rsidRDefault="00FA649D" w:rsidP="00FA649D">
      <w:pPr>
        <w:pStyle w:val="ArticleNiv3"/>
      </w:pPr>
      <w:proofErr w:type="gramStart"/>
      <w:r>
        <w:t>une</w:t>
      </w:r>
      <w:proofErr w:type="gramEnd"/>
      <w:r>
        <w:t xml:space="preserve"> énumération des documents visés à l'article 7 ;</w:t>
      </w:r>
    </w:p>
    <w:p w14:paraId="2FB7F69C" w14:textId="77777777" w:rsidR="00FA649D" w:rsidRDefault="00FA649D" w:rsidP="00FA649D">
      <w:pPr>
        <w:pStyle w:val="ArticleNiv3"/>
      </w:pPr>
      <w:proofErr w:type="gramStart"/>
      <w:r>
        <w:t>la</w:t>
      </w:r>
      <w:proofErr w:type="gramEnd"/>
      <w:r>
        <w:t xml:space="preserve"> date, l'heure et le lieu fixés pour la séance de location ;</w:t>
      </w:r>
    </w:p>
    <w:p w14:paraId="3F7C827B" w14:textId="77777777" w:rsidR="00FA649D" w:rsidRDefault="00FA649D" w:rsidP="00FA649D">
      <w:pPr>
        <w:pStyle w:val="ArticleNiv3"/>
      </w:pPr>
      <w:proofErr w:type="gramStart"/>
      <w:r>
        <w:t>les</w:t>
      </w:r>
      <w:proofErr w:type="gramEnd"/>
      <w:r>
        <w:t xml:space="preserve"> conditions financières fixées par le conseil communal (loyer annuel, etc.) ;</w:t>
      </w:r>
    </w:p>
    <w:p w14:paraId="26A69149" w14:textId="77777777" w:rsidR="00FA649D" w:rsidRDefault="00FA649D" w:rsidP="00FA649D">
      <w:pPr>
        <w:pStyle w:val="ArticleNiv3"/>
      </w:pPr>
      <w:proofErr w:type="gramStart"/>
      <w:r>
        <w:t>un</w:t>
      </w:r>
      <w:proofErr w:type="gramEnd"/>
      <w:r>
        <w:t xml:space="preserve"> exemplaire des clauses générales et particulières du nouveau cahier des charges et ses annexes éventuelles ;</w:t>
      </w:r>
    </w:p>
    <w:p w14:paraId="5F2066DF" w14:textId="77777777" w:rsidR="00FA649D" w:rsidRDefault="00FA649D" w:rsidP="00FA649D">
      <w:pPr>
        <w:pStyle w:val="ArticleNiv2"/>
        <w:numPr>
          <w:ilvl w:val="0"/>
          <w:numId w:val="0"/>
        </w:numPr>
        <w:ind w:left="454"/>
      </w:pPr>
      <w:r>
        <w:t xml:space="preserve">Après l’échéance, le collège communal procède à l’examen des documents visés à l’article 7.  En cas de recevabilité des documents, ce dernier, ou son mandataire, est tenu de signer pour accord le présent cahier des charges et d’en parapher chacune des pages.  </w:t>
      </w:r>
    </w:p>
    <w:p w14:paraId="7917728B" w14:textId="77777777" w:rsidR="00FA649D" w:rsidRDefault="00FA649D" w:rsidP="00FA649D">
      <w:pPr>
        <w:pStyle w:val="ArticleNiv2"/>
        <w:numPr>
          <w:ilvl w:val="0"/>
          <w:numId w:val="0"/>
        </w:numPr>
        <w:ind w:left="454"/>
      </w:pPr>
      <w:r>
        <w:lastRenderedPageBreak/>
        <w:t>En cas de non recevabilité des documents, le Bourgmestre – ou l’échevin – consigne dans un procès-verbal de location les irrégularités constatées.  Il invite le locataire sortant – ou son mandataire – à contresigner le procès-verbal avant de lever la séance de location.  La disposition prévue à alinéa 4 est alors d'application.</w:t>
      </w:r>
    </w:p>
    <w:p w14:paraId="1392302A" w14:textId="77777777" w:rsidR="00FA649D" w:rsidRDefault="00FA649D" w:rsidP="00FA649D">
      <w:pPr>
        <w:pStyle w:val="ArticleNiv2"/>
      </w:pPr>
      <w:r>
        <w:t>Le Collège communal notifie au locataire sortant, par lettre recommandée, l’attribution du droit de chasse. Le droit de chasse est réputé attribué le lendemain du jour du dépôt de la notification à la poste.</w:t>
      </w:r>
    </w:p>
    <w:p w14:paraId="6A4E83DC" w14:textId="77777777" w:rsidR="00FA649D" w:rsidRDefault="00FA649D" w:rsidP="00FA649D">
      <w:pPr>
        <w:pStyle w:val="ArticleNiv2"/>
      </w:pPr>
      <w:r>
        <w:t>L</w:t>
      </w:r>
      <w:r w:rsidRPr="001C1EAD">
        <w:t>e conseil communal est habilité à décider de la mise en location, soit par adjudication publique, soit par voie de gré à gré, des lots de la forêt communale mentionnée dans le document en question</w:t>
      </w:r>
      <w:r>
        <w:t xml:space="preserve"> dans les cas suivants :</w:t>
      </w:r>
    </w:p>
    <w:p w14:paraId="61258F7F" w14:textId="77777777" w:rsidR="00FA649D" w:rsidRDefault="00FA649D" w:rsidP="00FA649D">
      <w:pPr>
        <w:pStyle w:val="ArticleNiv2"/>
        <w:numPr>
          <w:ilvl w:val="0"/>
          <w:numId w:val="0"/>
        </w:numPr>
      </w:pPr>
      <w:r>
        <w:t xml:space="preserve">a) Lorsque l'une des conditions visées à l'article 7 n'est pas respectée </w:t>
      </w:r>
    </w:p>
    <w:p w14:paraId="78FEEFA6" w14:textId="77777777" w:rsidR="00FA649D" w:rsidRDefault="00FA649D" w:rsidP="00FA649D">
      <w:pPr>
        <w:pStyle w:val="ArticleNiv2"/>
        <w:numPr>
          <w:ilvl w:val="0"/>
          <w:numId w:val="0"/>
        </w:numPr>
      </w:pPr>
      <w:r>
        <w:t xml:space="preserve">b) </w:t>
      </w:r>
      <w:r w:rsidRPr="001C1EAD">
        <w:t xml:space="preserve">si </w:t>
      </w:r>
      <w:r>
        <w:t>une</w:t>
      </w:r>
      <w:r w:rsidRPr="001C1EAD">
        <w:t xml:space="preserve"> chasse locale, exercée à proximité des biens communaux, ne dispose pas de parcelles communales, </w:t>
      </w:r>
    </w:p>
    <w:p w14:paraId="673C9E73" w14:textId="77777777" w:rsidR="00FA649D" w:rsidRDefault="00FA649D" w:rsidP="00FA649D">
      <w:pPr>
        <w:pStyle w:val="ArticleNiv2"/>
        <w:numPr>
          <w:ilvl w:val="0"/>
          <w:numId w:val="0"/>
        </w:numPr>
      </w:pPr>
      <w:r>
        <w:t xml:space="preserve">c) </w:t>
      </w:r>
      <w:r w:rsidRPr="001C1EAD">
        <w:t>si le locataire sortant n’est pas considéré comme une chasse locale, c’est-à-dire si moins de 50 % de ses actionnaires résident dans la commune de Léglise</w:t>
      </w:r>
      <w:r>
        <w:t>.</w:t>
      </w:r>
      <w:r w:rsidRPr="001C1EAD">
        <w:t xml:space="preserve"> </w:t>
      </w:r>
    </w:p>
    <w:p w14:paraId="1B979864" w14:textId="77777777" w:rsidR="00FA649D" w:rsidRDefault="00FA649D" w:rsidP="00FA649D">
      <w:pPr>
        <w:pStyle w:val="ArticleNiv2"/>
      </w:pPr>
      <w:r>
        <w:t>Dans ce cas, l'adjudication publique peut se faire :</w:t>
      </w:r>
    </w:p>
    <w:p w14:paraId="21BDFC69" w14:textId="77777777" w:rsidR="00FA649D" w:rsidRDefault="00FA649D" w:rsidP="00FA649D">
      <w:pPr>
        <w:pStyle w:val="ArticleNiv3"/>
      </w:pPr>
      <w:proofErr w:type="gramStart"/>
      <w:r>
        <w:t>soit</w:t>
      </w:r>
      <w:proofErr w:type="gramEnd"/>
      <w:r>
        <w:t xml:space="preserve"> par mise aux enchères des lots, suivie éventuellement d'un appel à soumissions pour les lots qui n'ont pas été adjugés à l'issue de la mise aux enchères ;</w:t>
      </w:r>
    </w:p>
    <w:p w14:paraId="108917F2" w14:textId="77777777" w:rsidR="00FA649D" w:rsidRPr="00673A50" w:rsidRDefault="00FA649D" w:rsidP="00FA649D">
      <w:pPr>
        <w:pStyle w:val="ArticleNiv3"/>
      </w:pPr>
      <w:proofErr w:type="gramStart"/>
      <w:r>
        <w:t>soit</w:t>
      </w:r>
      <w:proofErr w:type="gramEnd"/>
      <w:r>
        <w:t xml:space="preserve"> directement par soumissions.</w:t>
      </w:r>
    </w:p>
    <w:p w14:paraId="7668638C" w14:textId="77777777" w:rsidR="00FA649D" w:rsidRDefault="00FA649D" w:rsidP="00FA649D">
      <w:pPr>
        <w:pStyle w:val="Article"/>
      </w:pPr>
      <w:r>
        <w:t>Associés.</w:t>
      </w:r>
    </w:p>
    <w:p w14:paraId="1DBFDA63" w14:textId="77777777" w:rsidR="00FA649D" w:rsidRDefault="00FA649D" w:rsidP="00FA649D">
      <w:pPr>
        <w:pStyle w:val="ArticleNiv1"/>
      </w:pPr>
      <w:r>
        <w:t>Désignation et retrait des associés.</w:t>
      </w:r>
    </w:p>
    <w:p w14:paraId="6429CA6D" w14:textId="77777777" w:rsidR="00FA649D" w:rsidRDefault="00FA649D" w:rsidP="00FA649D">
      <w:pPr>
        <w:pStyle w:val="ArticleNiv2"/>
      </w:pPr>
      <w:r>
        <w:t>Au plus tard avant la fin de l’année précédant l’avant-dernière année du bail, le locataire peut demander au Collège communal l’agrément d’associés dont le nombre maximum par lot est fixé aux clauses particulières reprises à l’annexe I.</w:t>
      </w:r>
    </w:p>
    <w:p w14:paraId="324795DC" w14:textId="77777777" w:rsidR="00FA649D" w:rsidRDefault="00FA649D" w:rsidP="00FA649D">
      <w:pPr>
        <w:pStyle w:val="ArticleNiv2"/>
      </w:pPr>
      <w:r>
        <w:t>Si la désignation des associés se fait lors de la séance de location, les intéressés doivent avoir contresigné pour accord le cahier des charges. Si la désignation des associés se fait ultérieurement, elle doit faire l’objet d’un avenant conforme au modèle repris en annexe IV, signé par le Collège communal, le locataire et le ou les associé(s).</w:t>
      </w:r>
    </w:p>
    <w:p w14:paraId="7F4CDFBA" w14:textId="77777777" w:rsidR="00FA649D" w:rsidRDefault="00FA649D" w:rsidP="00FA649D">
      <w:pPr>
        <w:pStyle w:val="ArticleNiv2"/>
      </w:pPr>
      <w:r>
        <w:t>Des substitutions d'associés peuvent avoir lieu avec l'autorisation préalable du Collège communal avant la fin de l’année précédant l’avant-dernière année du bail. Elles se font à l'initiative du locataire et doivent faire l’objet d’un avenant rédigé dans les mêmes conditions que celles visées à l’alinéa précédent.</w:t>
      </w:r>
    </w:p>
    <w:p w14:paraId="432FD55C" w14:textId="77777777" w:rsidR="00FA649D" w:rsidRDefault="00FA649D" w:rsidP="00FA649D">
      <w:pPr>
        <w:pStyle w:val="ArticleNiv2"/>
      </w:pPr>
      <w:r>
        <w:t>Chaque associé doit justifier au moment de sa désignation des conditions prévues à l'article 7à l'exception de celles visées par les points c) et d) de l'alinéa 1</w:t>
      </w:r>
      <w:r>
        <w:rPr>
          <w:vertAlign w:val="superscript"/>
        </w:rPr>
        <w:t>er</w:t>
      </w:r>
      <w:r>
        <w:t>.</w:t>
      </w:r>
    </w:p>
    <w:p w14:paraId="1D190EC1" w14:textId="77777777" w:rsidR="00FA649D" w:rsidRDefault="00FA649D" w:rsidP="00FA649D">
      <w:pPr>
        <w:pStyle w:val="ArticleNiv2"/>
      </w:pPr>
      <w:r>
        <w:t>Le Collège communal peut exiger à tout moment le retrait de tout associé qui aura subi une condamnation définitive pour une infraction à la loi sur la chasse ou à la loi sur la conservation de la nature.</w:t>
      </w:r>
    </w:p>
    <w:p w14:paraId="6557BDE7" w14:textId="77777777" w:rsidR="00FA649D" w:rsidRDefault="00FA649D" w:rsidP="00FA649D">
      <w:pPr>
        <w:pStyle w:val="ArticleNiv1"/>
      </w:pPr>
      <w:r>
        <w:t>Obligations et droits des associés.</w:t>
      </w:r>
    </w:p>
    <w:p w14:paraId="721D452B" w14:textId="77777777" w:rsidR="00FA649D" w:rsidRDefault="00FA649D" w:rsidP="00FA649D">
      <w:pPr>
        <w:pStyle w:val="ArticleNiv2"/>
        <w:numPr>
          <w:ilvl w:val="3"/>
          <w:numId w:val="2"/>
        </w:numPr>
      </w:pPr>
      <w:r>
        <w:t>Les associés sont solidairement et indivisiblement engagés au respect des obligations du présent cahier des charges. Le locataire reste toutefois le seul titulaire du bail et lui seul est visé par la disposition prévue à l’article 8.  Le bailleur traite toujours prioritairement avec le locataire.</w:t>
      </w:r>
    </w:p>
    <w:p w14:paraId="67F3854B" w14:textId="77777777" w:rsidR="00FA649D" w:rsidRDefault="00FA649D" w:rsidP="00FA649D">
      <w:pPr>
        <w:pStyle w:val="ArticleNiv2"/>
      </w:pPr>
      <w:r>
        <w:t xml:space="preserve">Le Collège communal et le </w:t>
      </w:r>
      <w:r w:rsidRPr="00EB74E8">
        <w:t>Directeur de Centre</w:t>
      </w:r>
      <w:r>
        <w:t xml:space="preserve"> peuvent exiger à tout moment d’un associé la production d’un certificat de bonne conduite, vie et mœurs. A défaut de le remettre dans les 30 jours calendriers, l’associé est déchu de son droit.</w:t>
      </w:r>
    </w:p>
    <w:p w14:paraId="044D860F" w14:textId="77777777" w:rsidR="00FA649D" w:rsidRDefault="00FA649D" w:rsidP="00FA649D">
      <w:pPr>
        <w:pStyle w:val="ArticleNiv2"/>
      </w:pPr>
      <w:r>
        <w:t>L’un des associés peut devenir titulaire du bail dans les conditions prévues aux articles 20 et 25.  Le cas échéant, le nouveau titulaire est seul visé par la disposition prévue à l’article 7, alinéa 1</w:t>
      </w:r>
      <w:r>
        <w:rPr>
          <w:vertAlign w:val="superscript"/>
        </w:rPr>
        <w:t>er</w:t>
      </w:r>
      <w:r>
        <w:t>.</w:t>
      </w:r>
    </w:p>
    <w:p w14:paraId="2D1CB1EF" w14:textId="77777777" w:rsidR="00FA649D" w:rsidRDefault="00FA649D" w:rsidP="00FA649D">
      <w:pPr>
        <w:pStyle w:val="Article"/>
      </w:pPr>
      <w:r>
        <w:t>Domicile.</w:t>
      </w:r>
    </w:p>
    <w:p w14:paraId="40E2F86A" w14:textId="77777777" w:rsidR="00FA649D" w:rsidRDefault="00FA649D" w:rsidP="00FA649D">
      <w:r>
        <w:t xml:space="preserve">Le locataire </w:t>
      </w:r>
      <w:r w:rsidRPr="004B4DB7">
        <w:t>ou l’un des associés qui n’est</w:t>
      </w:r>
      <w:r>
        <w:t xml:space="preserve"> pas domicilié dans la commune mentionnée sous couverture doit y élire domicile dans les 30 jours calendriers qui suivent la notification de l’attribution du droit de chasse.  A défaut, les significations visées à l’article 18 seront faites valablement au domicile du bourgmestre de la commune susvisée.</w:t>
      </w:r>
    </w:p>
    <w:p w14:paraId="5E60C523" w14:textId="77777777" w:rsidR="00FA649D" w:rsidRPr="0021156E" w:rsidRDefault="00FA649D" w:rsidP="00FA649D">
      <w:pPr>
        <w:pStyle w:val="Article"/>
      </w:pPr>
      <w:r w:rsidRPr="0021156E">
        <w:t>Promesse de caution et caution bancaire.</w:t>
      </w:r>
    </w:p>
    <w:p w14:paraId="4177A642" w14:textId="77777777" w:rsidR="00FA649D" w:rsidRDefault="00FA649D" w:rsidP="00FA649D">
      <w:pPr>
        <w:pStyle w:val="ArticleNiv1"/>
      </w:pPr>
      <w:r>
        <w:t>Origine de la promesse de caution bancaire.</w:t>
      </w:r>
    </w:p>
    <w:p w14:paraId="263203F3" w14:textId="77777777" w:rsidR="00FA649D" w:rsidRDefault="00FA649D" w:rsidP="00FA649D">
      <w:pPr>
        <w:pStyle w:val="ArticleNiv2"/>
      </w:pPr>
      <w:r>
        <w:t>Pour être valable, la promesse de caution bancaire visée à l’article 7 doit émaner :</w:t>
      </w:r>
    </w:p>
    <w:p w14:paraId="67CE502D" w14:textId="77777777" w:rsidR="00FA649D" w:rsidRDefault="00FA649D" w:rsidP="00FA649D">
      <w:pPr>
        <w:pStyle w:val="ArticleNiv3"/>
      </w:pPr>
      <w:proofErr w:type="gramStart"/>
      <w:r>
        <w:lastRenderedPageBreak/>
        <w:t>soit</w:t>
      </w:r>
      <w:proofErr w:type="gramEnd"/>
      <w:r>
        <w:t xml:space="preserve"> d’une banque ou d’une caisse d’épargne privée exerçant son activité en </w:t>
      </w:r>
      <w:proofErr w:type="gramStart"/>
      <w:r>
        <w:t>Belgique;</w:t>
      </w:r>
      <w:proofErr w:type="gramEnd"/>
    </w:p>
    <w:p w14:paraId="70E6B273" w14:textId="77777777" w:rsidR="00FA649D" w:rsidRDefault="00FA649D" w:rsidP="00FA649D">
      <w:pPr>
        <w:pStyle w:val="ArticleNiv3"/>
      </w:pPr>
      <w:proofErr w:type="gramStart"/>
      <w:r>
        <w:t>soit</w:t>
      </w:r>
      <w:proofErr w:type="gramEnd"/>
      <w:r>
        <w:t xml:space="preserve"> d’une entreprise d’assurances habilitée à fournir des cautionnements selon la loi ;</w:t>
      </w:r>
    </w:p>
    <w:p w14:paraId="5D58D964" w14:textId="77777777" w:rsidR="00FA649D" w:rsidRDefault="00FA649D" w:rsidP="00FA649D">
      <w:pPr>
        <w:pStyle w:val="ArticleNiv3"/>
      </w:pPr>
      <w:proofErr w:type="gramStart"/>
      <w:r>
        <w:t>soit</w:t>
      </w:r>
      <w:proofErr w:type="gramEnd"/>
      <w:r>
        <w:t xml:space="preserve"> d’une institution publique de </w:t>
      </w:r>
      <w:proofErr w:type="gramStart"/>
      <w:r>
        <w:t>crédit;</w:t>
      </w:r>
      <w:proofErr w:type="gramEnd"/>
    </w:p>
    <w:p w14:paraId="3498B5A8" w14:textId="77777777" w:rsidR="00FA649D" w:rsidRDefault="00FA649D" w:rsidP="00FA649D">
      <w:pPr>
        <w:pStyle w:val="ArticleNiv3"/>
      </w:pPr>
      <w:proofErr w:type="gramStart"/>
      <w:r>
        <w:t>soit</w:t>
      </w:r>
      <w:proofErr w:type="gramEnd"/>
      <w:r>
        <w:t xml:space="preserve"> d’une entreprise agréée par la Caisse des dépôts et consignations en vue de se porter caution pour ses clients et qui fournira la preuve de sa solvabilité en établissant que la caution réelle déposée par elle auprès de la Caisse des dépôts et consignations en application de la loi est suffisante pour couvrir ses engagements vis-à-vis du créancier (l’attestation requise est délivrée par la Caisse des dépôts et consignations de l’Administration de la Trésorerie à Bruxelles</w:t>
      </w:r>
      <w:proofErr w:type="gramStart"/>
      <w:r>
        <w:t>);</w:t>
      </w:r>
      <w:proofErr w:type="gramEnd"/>
    </w:p>
    <w:p w14:paraId="617DD030" w14:textId="77777777" w:rsidR="00FA649D" w:rsidRDefault="00FA649D" w:rsidP="00FA649D">
      <w:pPr>
        <w:pStyle w:val="ArticleNiv3"/>
      </w:pPr>
      <w:proofErr w:type="gramStart"/>
      <w:r>
        <w:t>soit</w:t>
      </w:r>
      <w:proofErr w:type="gramEnd"/>
      <w:r>
        <w:t xml:space="preserve"> des établissements de crédit relevant du droit d’un autre Etat membre de l’Union européenne, qui sont habilités en vertu de leur droit national à octroyer dans leur Etat d’origine des garanties et qui ont accompli les formalités prévues par la </w:t>
      </w:r>
      <w:proofErr w:type="gramStart"/>
      <w:r>
        <w:t>loi..</w:t>
      </w:r>
      <w:proofErr w:type="gramEnd"/>
    </w:p>
    <w:p w14:paraId="32A89954" w14:textId="77777777" w:rsidR="00FA649D" w:rsidRDefault="00FA649D" w:rsidP="00FA649D">
      <w:pPr>
        <w:pStyle w:val="ArticleNiv1"/>
      </w:pPr>
      <w:r>
        <w:t>Délai d’introduction et caractéristiques de la caution bancaire.</w:t>
      </w:r>
    </w:p>
    <w:p w14:paraId="090F07D5" w14:textId="77777777" w:rsidR="00FA649D" w:rsidRDefault="00FA649D" w:rsidP="00FA649D">
      <w:pPr>
        <w:pStyle w:val="ArticleNiv2"/>
        <w:numPr>
          <w:ilvl w:val="3"/>
          <w:numId w:val="3"/>
        </w:numPr>
      </w:pPr>
      <w:r>
        <w:t>Le locataire est tenu de fournir au Directeur financier dans les 30 jours calendrier qui suivent la notification de l’attribution du droit de chasse, la caution solidaire et indivisible de cet organisme financier pour les sommes dues pour le paiement des loyers, dommages, frais, indemnités ou amendes contractuelles, tels que fixés aux clauses générales et particulières du présent cahier des charges. A cette fin, il est fait usage du modèle de cautionnement repris à l'annexe VI. Par le fait même de la présentation de la caution bancaire, le locataire autorise le Directeur financier à faire appel à celle-ci pour recouvrer les sommes dues qui n'auraient pas été payées dans les délais prescrits.</w:t>
      </w:r>
    </w:p>
    <w:p w14:paraId="20AC2177" w14:textId="77777777" w:rsidR="00FA649D" w:rsidRDefault="00FA649D" w:rsidP="00FA649D">
      <w:pPr>
        <w:pStyle w:val="ArticleNiv2"/>
      </w:pPr>
      <w:r>
        <w:t>Le montant de la caution bancaire doit être égal au montant du loyer de la première année. Toutefois, pour les loyers inférieurs à 2.500 euros, le Directeur financier peut exiger ultérieurement le renforcement de la caution. Faute d’obtenir satisfaction dans les 30 jours calendrier, le Directeur financier a le droit de prélever le montant de la caution.</w:t>
      </w:r>
    </w:p>
    <w:p w14:paraId="068C96B8" w14:textId="77777777" w:rsidR="00FA649D" w:rsidRDefault="00FA649D" w:rsidP="00FA649D">
      <w:pPr>
        <w:pStyle w:val="ArticleNiv2"/>
      </w:pPr>
      <w:r>
        <w:t>Le montant de la caution bancaire doit être reconstitué par l’organisme financier après le premier prélèvement opéré par le Directeur financier. Ce montant n’est reconstitué qu'une seule fois. Tout nouvel appel vient ensuite en déduction de celui-ci. Dès le second prélèvement du Directeur financier sur la caution bancaire, le bailleur peut résilier le bail si le locataire ne fournit pas une nouvelle caution bancaire d’un montant équivalant à celui prévu à l’alinéa 3, dans un délai de 30 jours calendrier à compter de la date du prélèvement.</w:t>
      </w:r>
    </w:p>
    <w:p w14:paraId="5A7EC511" w14:textId="77777777" w:rsidR="00FA649D" w:rsidRDefault="00FA649D" w:rsidP="00FA649D">
      <w:pPr>
        <w:pStyle w:val="ArticleNiv2"/>
      </w:pPr>
      <w:r>
        <w:t>La caution bancaire garantit tous les paiements dus, pour autant que ceux-ci aient été réclamés au locataire au plus tard 6 mois après l'expiration du bail.</w:t>
      </w:r>
    </w:p>
    <w:p w14:paraId="4C5B0E2B" w14:textId="77777777" w:rsidR="00FA649D" w:rsidRDefault="00FA649D" w:rsidP="00FA649D">
      <w:pPr>
        <w:pStyle w:val="ArticleNiv1"/>
      </w:pPr>
      <w:r>
        <w:t>Absence de caution bancaire.</w:t>
      </w:r>
    </w:p>
    <w:p w14:paraId="5C3B5E29" w14:textId="77777777" w:rsidR="00FA649D" w:rsidRDefault="00FA649D" w:rsidP="00FA649D">
      <w:pPr>
        <w:pStyle w:val="ArticleNiv2"/>
        <w:numPr>
          <w:ilvl w:val="3"/>
          <w:numId w:val="4"/>
        </w:numPr>
      </w:pPr>
      <w:r>
        <w:t xml:space="preserve">Si une caution bancaire conforme aux conditions fixées dans le présent article n'est pas présentée dans le délai prévu, le locataire est déchu de son droit et il est procédé à une mise en location </w:t>
      </w:r>
      <w:r w:rsidRPr="001C1EAD">
        <w:t>soit par adjudication publique, soit par voie de gré à gré</w:t>
      </w:r>
      <w:r>
        <w:t>.</w:t>
      </w:r>
    </w:p>
    <w:p w14:paraId="6C98433A" w14:textId="77777777" w:rsidR="00FA649D" w:rsidRDefault="00FA649D" w:rsidP="00FA649D">
      <w:pPr>
        <w:pStyle w:val="ArticleNiv2"/>
      </w:pPr>
      <w:r>
        <w:t>Le tantième éventuellement versé à titre de frais d’adjudication, ainsi que toute somme payée à titre quelconque par le locataire, restent acquis par le bailleur sans restitution possible.</w:t>
      </w:r>
    </w:p>
    <w:p w14:paraId="2857FD56" w14:textId="77777777" w:rsidR="00FA649D" w:rsidRPr="00C63E83" w:rsidRDefault="00FA649D" w:rsidP="00FA649D">
      <w:r>
        <w:t xml:space="preserve">Si le loyer approuvé lors de l’adjudication publique est inférieur au montant obtenu du locataire déchu, celui-ci doit payer la différence, calculée sur toute la durée de la location, à titre de dommages et intérêts. Celle-ci est exigible dans les 30 jours calendrier. Si, par contre, ce loyer obtenu par </w:t>
      </w:r>
      <w:r w:rsidRPr="001C1EAD">
        <w:t>adjudication publique</w:t>
      </w:r>
      <w:r>
        <w:t xml:space="preserve"> ou </w:t>
      </w:r>
      <w:r w:rsidRPr="001C1EAD">
        <w:t>par voie de gré à gré</w:t>
      </w:r>
      <w:r>
        <w:t xml:space="preserve"> est supérieur au montant fixé antérieurement, le locataire déchu ne peut réclamer la différence</w:t>
      </w:r>
    </w:p>
    <w:p w14:paraId="529E8A0F" w14:textId="77777777" w:rsidR="00FA649D" w:rsidRDefault="00FA649D" w:rsidP="00FA649D">
      <w:pPr>
        <w:pStyle w:val="Article"/>
      </w:pPr>
      <w:r>
        <w:t>Adaptations du loyer annuel.</w:t>
      </w:r>
    </w:p>
    <w:p w14:paraId="272335AC" w14:textId="77777777" w:rsidR="00FA649D" w:rsidRDefault="00FA649D" w:rsidP="00FA649D">
      <w:r>
        <w:t>Le loyer annuel subit des fluctuations à la hausse ou à la baisse en fonction des variations de l'indice des prix à la consommation.</w:t>
      </w:r>
    </w:p>
    <w:p w14:paraId="0CCEC142" w14:textId="77777777" w:rsidR="00FA649D" w:rsidRDefault="00FA649D" w:rsidP="00FA649D">
      <w:r>
        <w:t>Le mode de calcul du loyer est disponible à l’article 3 de l’annexe I.</w:t>
      </w:r>
    </w:p>
    <w:p w14:paraId="72D8B62C" w14:textId="77777777" w:rsidR="00FA649D" w:rsidRDefault="00FA649D" w:rsidP="00FA649D">
      <w:pPr>
        <w:pStyle w:val="Article"/>
      </w:pPr>
      <w:r>
        <w:t>Acquittement du loyer annuel.</w:t>
      </w:r>
    </w:p>
    <w:p w14:paraId="7ED1B4D6" w14:textId="77777777" w:rsidR="00FA649D" w:rsidRPr="00C63E83" w:rsidRDefault="00FA649D" w:rsidP="00FA649D">
      <w:pPr>
        <w:pStyle w:val="ArticleNiv2"/>
      </w:pPr>
      <w:r w:rsidRPr="00C63E83">
        <w:t xml:space="preserve">Tout loyer inférieur à 2.500 euros est payé à la caisse du </w:t>
      </w:r>
      <w:r>
        <w:t>Directeur financier</w:t>
      </w:r>
      <w:r w:rsidRPr="00C63E83">
        <w:t xml:space="preserve"> en un seul terme, au plus tard le 1</w:t>
      </w:r>
      <w:r w:rsidRPr="00C63E83">
        <w:rPr>
          <w:vertAlign w:val="superscript"/>
        </w:rPr>
        <w:t>er</w:t>
      </w:r>
      <w:r w:rsidRPr="00C63E83">
        <w:t xml:space="preserve"> août de chaque année du bail. Tout loyer égal ou supérieur à 2.500 euros est payé à la caisse du </w:t>
      </w:r>
      <w:r>
        <w:t>Directeur financier</w:t>
      </w:r>
      <w:r w:rsidRPr="00C63E83">
        <w:t xml:space="preserve"> en deux termes égaux, échéant au plus tard le 1</w:t>
      </w:r>
      <w:r w:rsidRPr="00C63E83">
        <w:rPr>
          <w:vertAlign w:val="superscript"/>
        </w:rPr>
        <w:t>er</w:t>
      </w:r>
      <w:r w:rsidRPr="00C63E83">
        <w:t xml:space="preserve"> août et le 1</w:t>
      </w:r>
      <w:r w:rsidRPr="00C63E83">
        <w:rPr>
          <w:vertAlign w:val="superscript"/>
        </w:rPr>
        <w:t>er</w:t>
      </w:r>
      <w:r w:rsidRPr="00C63E83">
        <w:t xml:space="preserve"> février.</w:t>
      </w:r>
    </w:p>
    <w:p w14:paraId="4E136383" w14:textId="77777777" w:rsidR="00FA649D" w:rsidRDefault="00FA649D" w:rsidP="00FA649D">
      <w:pPr>
        <w:pStyle w:val="ArticleNiv2"/>
      </w:pPr>
      <w:r>
        <w:t>Si le terme de l'échéance est dépassé, les sommes dues produisent, de plein droit et sans mise en demeure, des intérêts au taux légal à partir de la date de l'échéance.</w:t>
      </w:r>
    </w:p>
    <w:p w14:paraId="58DD7679" w14:textId="77777777" w:rsidR="00FA649D" w:rsidRDefault="00FA649D" w:rsidP="00FA649D">
      <w:pPr>
        <w:pStyle w:val="Article"/>
      </w:pPr>
      <w:r w:rsidRPr="00AC7B54">
        <w:lastRenderedPageBreak/>
        <w:t>Mise en cause du</w:t>
      </w:r>
      <w:r>
        <w:t xml:space="preserve"> bailleur.</w:t>
      </w:r>
    </w:p>
    <w:p w14:paraId="4316F0A6" w14:textId="77777777" w:rsidR="00FA649D" w:rsidRDefault="00FA649D" w:rsidP="00FA649D">
      <w:pPr>
        <w:pStyle w:val="ArticleNiv2"/>
      </w:pPr>
      <w:r>
        <w:t>La responsabilité du bailleur ne peut en aucun cas être recherchée par le locataire suite aux accidents qui pourraient survenir dans le lot, à des tiers ou non, en raison de l’utilisation ou de la présence d’infrastructures cynégétiques ou du fait de l’exercice de la chasse.</w:t>
      </w:r>
    </w:p>
    <w:p w14:paraId="621AF156" w14:textId="77777777" w:rsidR="00FA649D" w:rsidRDefault="00FA649D" w:rsidP="00FA649D">
      <w:pPr>
        <w:pStyle w:val="ArticleNiv2"/>
      </w:pPr>
      <w:r>
        <w:t>Il en est de même vis-à-vis de dommages pouvant résulter de troubles ou d’accidents causés par des tiers ou du fait d’évènements naturels ou climatiques, sauf à prouver la négligence ou la faute du bailleur.</w:t>
      </w:r>
    </w:p>
    <w:p w14:paraId="3EA952B3" w14:textId="77777777" w:rsidR="00FA649D" w:rsidRDefault="00FA649D" w:rsidP="00FA649D">
      <w:pPr>
        <w:pStyle w:val="ArticleNiv2"/>
      </w:pPr>
      <w:r>
        <w:t>Le bailleur peut en aucun cas être tenu pour responsable de modifications des dispositions légales, y compris en matière de certification forestière (PEFC), qui pourraient survenir dans le futur et interdire ou limiter dans le temps l’exercice de la chasse à certains gibiers ou la pratique de certains modes de chasse. En conséquence, le locataire ne peut se prévaloir de telles modifications pour exiger une diminution du loyer ou une résiliation du bail. En ce qui concerne la certification PEFC, le bailleur informe le locataire des exigences en vigueur.</w:t>
      </w:r>
    </w:p>
    <w:p w14:paraId="00D66A6F" w14:textId="77777777" w:rsidR="00FA649D" w:rsidRDefault="00FA649D" w:rsidP="00FA649D">
      <w:pPr>
        <w:pStyle w:val="Article"/>
      </w:pPr>
      <w:r>
        <w:t>Surveillance du lot de chasse.</w:t>
      </w:r>
    </w:p>
    <w:p w14:paraId="3CBDC9CA" w14:textId="77777777" w:rsidR="00FA649D" w:rsidRDefault="00FA649D" w:rsidP="00FA649D">
      <w:pPr>
        <w:pStyle w:val="ArticleNiv2"/>
      </w:pPr>
      <w:r>
        <w:t>Il est interdit au locataire d’utiliser les agents de la Division de la Nature et des Forêts pour l'accomplissement de toute tâche et notamment d’une tâche ayant un rapport direct avec la gestion cynégétique du lot : nourrissage du gibier, entretien des infrastructures cynégétiques (lignes de tir, postes de battue ou d’affût, mangeoires, etc.), organisation des traques et du ramassage du gibier, commercialisation du gibier.</w:t>
      </w:r>
    </w:p>
    <w:p w14:paraId="57F31D54" w14:textId="77777777" w:rsidR="00FA649D" w:rsidRDefault="00FA649D" w:rsidP="00FA649D">
      <w:pPr>
        <w:pStyle w:val="ArticleNiv2"/>
      </w:pPr>
      <w:r>
        <w:t>Le locataire ne peut faire agréer une personne déterminée comme garde champêtre particulier pour la surveillance de la chasse dans le lot qu’avec l’accord préalable et écrit du Collège communal après avis du Directeur de Centre.</w:t>
      </w:r>
    </w:p>
    <w:p w14:paraId="24B907BE" w14:textId="77777777" w:rsidR="00FA649D" w:rsidRDefault="00FA649D" w:rsidP="00FA649D">
      <w:pPr>
        <w:pStyle w:val="ArticleNiv2"/>
      </w:pPr>
      <w:r>
        <w:t>Le Collège communal, après avis du Directeur de Centre, peut exiger du locataire l’éviction du garde champêtre particulier agréé pour la surveillance de la chasse dans le lot loué, si celui</w:t>
      </w:r>
      <w:r>
        <w:noBreakHyphen/>
        <w:t>ci :</w:t>
      </w:r>
    </w:p>
    <w:p w14:paraId="696AD0E6" w14:textId="77777777" w:rsidR="00FA649D" w:rsidRDefault="00FA649D" w:rsidP="00FA649D">
      <w:pPr>
        <w:pStyle w:val="ArticleNiv3"/>
      </w:pPr>
      <w:proofErr w:type="gramStart"/>
      <w:r>
        <w:t>a</w:t>
      </w:r>
      <w:proofErr w:type="gramEnd"/>
      <w:r>
        <w:t xml:space="preserve"> été agréé sans son accord préalable ;</w:t>
      </w:r>
    </w:p>
    <w:p w14:paraId="41DCEF55" w14:textId="77777777" w:rsidR="00FA649D" w:rsidRDefault="00FA649D" w:rsidP="00FA649D">
      <w:pPr>
        <w:pStyle w:val="ArticleNiv3"/>
      </w:pPr>
      <w:proofErr w:type="gramStart"/>
      <w:r>
        <w:t>commet</w:t>
      </w:r>
      <w:proofErr w:type="gramEnd"/>
      <w:r>
        <w:t xml:space="preserve"> ou, sciemment, ne constate pas une infraction en matière de chasse ;</w:t>
      </w:r>
    </w:p>
    <w:p w14:paraId="53D6594F" w14:textId="77777777" w:rsidR="00FA649D" w:rsidRDefault="00FA649D" w:rsidP="00FA649D">
      <w:pPr>
        <w:pStyle w:val="ArticleNiv3"/>
      </w:pPr>
      <w:proofErr w:type="gramStart"/>
      <w:r>
        <w:t>commet</w:t>
      </w:r>
      <w:proofErr w:type="gramEnd"/>
      <w:r>
        <w:t xml:space="preserve"> une infraction à la loi sur la conservation de la nature ou aux clauses du présent cahier des charges ;</w:t>
      </w:r>
    </w:p>
    <w:p w14:paraId="612D05D6" w14:textId="77777777" w:rsidR="00FA649D" w:rsidRDefault="00FA649D" w:rsidP="00FA649D">
      <w:pPr>
        <w:pStyle w:val="ArticleNiv3"/>
      </w:pPr>
      <w:proofErr w:type="gramStart"/>
      <w:r>
        <w:t>ne</w:t>
      </w:r>
      <w:proofErr w:type="gramEnd"/>
      <w:r>
        <w:t xml:space="preserve"> dénonce pas sur le champ au Procureur du Roi tout crime ou délit dont il est témoin sur le lot ;</w:t>
      </w:r>
    </w:p>
    <w:p w14:paraId="1745D04A" w14:textId="77777777" w:rsidR="00FA649D" w:rsidRPr="00A36669" w:rsidRDefault="00FA649D" w:rsidP="00FA649D">
      <w:pPr>
        <w:pStyle w:val="ArticleNiv3"/>
      </w:pPr>
      <w:proofErr w:type="gramStart"/>
      <w:r>
        <w:t>adopte</w:t>
      </w:r>
      <w:proofErr w:type="gramEnd"/>
      <w:r>
        <w:t xml:space="preserve"> un comportement irrévérencieux, menaçant ou abusif vis-à-vis des autres utilisateurs de la forêt. </w:t>
      </w:r>
    </w:p>
    <w:p w14:paraId="6C546FC9" w14:textId="77777777" w:rsidR="00FA649D" w:rsidRDefault="00FA649D" w:rsidP="00FA649D">
      <w:pPr>
        <w:pStyle w:val="Article"/>
      </w:pPr>
      <w:r>
        <w:t>Communications et transmissions de documents.</w:t>
      </w:r>
    </w:p>
    <w:p w14:paraId="7E51681A" w14:textId="77777777" w:rsidR="00FA649D" w:rsidRDefault="00FA649D" w:rsidP="00FA649D">
      <w:r>
        <w:t xml:space="preserve">Tout acte ou correspondance entre le locataire et le Collège communal, le Directeur financier ou le service forestier relatif à l'application des clauses du présent cahier des charges se fait soit </w:t>
      </w:r>
      <w:r w:rsidRPr="00A36669">
        <w:t>par e-mail avec accusé de réception</w:t>
      </w:r>
      <w:r>
        <w:t xml:space="preserve">, soit par dépôt à l’administration communale avec accusé de réception, soit par lettre recommandée, le dépôt à la poste valant notification à partir du </w:t>
      </w:r>
      <w:r w:rsidRPr="00A36669">
        <w:t>lendemain. Ils sont</w:t>
      </w:r>
      <w:r>
        <w:t xml:space="preserve"> obligatoirement rédigés dans une des langues officielles en vigueur dans la commune de situation du lot.</w:t>
      </w:r>
    </w:p>
    <w:p w14:paraId="1413B7D7" w14:textId="77777777" w:rsidR="00FA649D" w:rsidRDefault="00FA649D" w:rsidP="00FA649D">
      <w:pPr>
        <w:pStyle w:val="Article"/>
      </w:pPr>
      <w:r>
        <w:t>Infractions et indemnités.</w:t>
      </w:r>
    </w:p>
    <w:p w14:paraId="53807976" w14:textId="77777777" w:rsidR="00FA649D" w:rsidRDefault="00FA649D" w:rsidP="00FA649D">
      <w:pPr>
        <w:pStyle w:val="ArticleNiv2"/>
      </w:pPr>
      <w:r>
        <w:t>Le Collège communal informe par écrit le locataire de toute constatation d'infraction aux clauses du cahier des charges. Dans les 15 jours calendrier de la notification, le locataire doit, selon le cas, prendre les mesures correctives et/ou payer à la caisse du Directeur financier l'indemnité due pour l'infraction.</w:t>
      </w:r>
    </w:p>
    <w:p w14:paraId="02C09337" w14:textId="77777777" w:rsidR="00FA649D" w:rsidRPr="001371E2" w:rsidRDefault="00FA649D" w:rsidP="00FA649D">
      <w:pPr>
        <w:pStyle w:val="ArticleNiv2"/>
      </w:pPr>
      <w:r w:rsidRPr="001371E2">
        <w:t>Les indemnités dues pour les infractions aux dispositions du présent cahier des charges sont fixées à l’annexe VII.</w:t>
      </w:r>
    </w:p>
    <w:p w14:paraId="30DC554F" w14:textId="77777777" w:rsidR="00FA649D" w:rsidRDefault="00FA649D" w:rsidP="00FA649D">
      <w:pPr>
        <w:pStyle w:val="Article"/>
      </w:pPr>
      <w:r>
        <w:t>Exercice du droit de chasse.</w:t>
      </w:r>
    </w:p>
    <w:p w14:paraId="0FC1979D" w14:textId="77777777" w:rsidR="00FA649D" w:rsidRPr="00764859" w:rsidRDefault="00FA649D" w:rsidP="00FA649D">
      <w:pPr>
        <w:pStyle w:val="ArticleNiv2"/>
        <w:rPr>
          <w:color w:val="FF0000"/>
        </w:rPr>
      </w:pPr>
      <w:r>
        <w:t xml:space="preserve">Le </w:t>
      </w:r>
      <w:r w:rsidRPr="001371E2">
        <w:t>droit de chasse doit obligatoirement être exercé sur le lot et le locataire est tenu de veiller à la coordination nécessaire avec ses voisins de chasse, les agriculteurs riverains ainsi qu'avec le service forestier et les autres occupants de la forêt.</w:t>
      </w:r>
    </w:p>
    <w:p w14:paraId="10E21956" w14:textId="77777777" w:rsidR="00FA649D" w:rsidRDefault="00FA649D" w:rsidP="00FA649D">
      <w:pPr>
        <w:pStyle w:val="ArticleNiv2"/>
      </w:pPr>
      <w:r>
        <w:t xml:space="preserve">Le locataire ne peut commencer à exercer le droit de chasse que s'il est en possession de l'autorisation de chasser, </w:t>
      </w:r>
      <w:r w:rsidRPr="001371E2">
        <w:t xml:space="preserve">délivrée par le Directeur de Centre sur présentation de la quittance du </w:t>
      </w:r>
      <w:r>
        <w:t>Directeur financier</w:t>
      </w:r>
      <w:r w:rsidRPr="001371E2">
        <w:t xml:space="preserve"> constatant que le locataire est en règle de cautionnement et de paiement.</w:t>
      </w:r>
    </w:p>
    <w:p w14:paraId="4CF2ADAA" w14:textId="77777777" w:rsidR="00FA649D" w:rsidRDefault="00FA649D" w:rsidP="00FA649D">
      <w:pPr>
        <w:pStyle w:val="Article"/>
      </w:pPr>
      <w:r>
        <w:t>Division du lot entre associés.</w:t>
      </w:r>
    </w:p>
    <w:p w14:paraId="14FD4028" w14:textId="77777777" w:rsidR="00FA649D" w:rsidRDefault="00FA649D" w:rsidP="00FA649D">
      <w:r>
        <w:t>Le locataire et ses associés ne sont pas autorisés à diviser le lot de chasse en parts attribuées exclusivement à l'un ou à plusieurs d'entre eux.</w:t>
      </w:r>
    </w:p>
    <w:p w14:paraId="5292F980" w14:textId="77777777" w:rsidR="00FA649D" w:rsidRDefault="00FA649D" w:rsidP="00FA649D">
      <w:pPr>
        <w:pStyle w:val="Article"/>
      </w:pPr>
      <w:r>
        <w:lastRenderedPageBreak/>
        <w:t>Cession de bail.</w:t>
      </w:r>
    </w:p>
    <w:p w14:paraId="6B7A7B77" w14:textId="77777777" w:rsidR="00FA649D" w:rsidRDefault="00FA649D" w:rsidP="00FA649D">
      <w:pPr>
        <w:pStyle w:val="ArticleNiv2"/>
      </w:pPr>
      <w:r>
        <w:t>La cession du bail ne peut être autorisée par le Collège communal, le Directeur financier et le Directeur de Centre entendus, qu’au profit d’un des associés.</w:t>
      </w:r>
    </w:p>
    <w:p w14:paraId="54DF6782" w14:textId="77777777" w:rsidR="00FA649D" w:rsidRDefault="00FA649D" w:rsidP="00FA649D">
      <w:pPr>
        <w:pStyle w:val="ArticleNiv2"/>
      </w:pPr>
      <w:r>
        <w:t>Le locataire cédant perdra définitivement ses droits sur le lot cédé et sera déchargé de toute obligation contractuelle à dater de l'enregistrement de l'acte de cession préalablement approuvé par le Collège communal au bureau de l’Enregistrement.</w:t>
      </w:r>
    </w:p>
    <w:p w14:paraId="1992D9FE" w14:textId="77777777" w:rsidR="00FA649D" w:rsidRDefault="00FA649D" w:rsidP="00FA649D">
      <w:pPr>
        <w:pStyle w:val="ArticleNiv2"/>
      </w:pPr>
      <w:r>
        <w:t>L'autorisation de cession ne pourra s'accompagner de modification des conditions de la location initiale, le nouveau locataire reprenant toutes les obligations du cédant.</w:t>
      </w:r>
    </w:p>
    <w:p w14:paraId="31C1B11A" w14:textId="77777777" w:rsidR="00FA649D" w:rsidRDefault="00FA649D" w:rsidP="00FA649D">
      <w:pPr>
        <w:pStyle w:val="Article"/>
      </w:pPr>
      <w:r>
        <w:t>Sous-locations, échanges, accords de chasse et conventions d’emplacement.</w:t>
      </w:r>
    </w:p>
    <w:p w14:paraId="6EB40563" w14:textId="77777777" w:rsidR="00FA649D" w:rsidRDefault="00FA649D" w:rsidP="00FA649D">
      <w:pPr>
        <w:pStyle w:val="ArticleNiv2"/>
      </w:pPr>
      <w:r>
        <w:t>Le locataire et ses associés ne sont pas autorisés à diviser le lot en parts attribuées exclusivement à l‘un ou plusieurs d’entre eux.</w:t>
      </w:r>
    </w:p>
    <w:p w14:paraId="0B3FAA18" w14:textId="77777777" w:rsidR="00FA649D" w:rsidRDefault="00FA649D" w:rsidP="00FA649D">
      <w:pPr>
        <w:pStyle w:val="ArticleNiv2"/>
      </w:pPr>
      <w:r>
        <w:t>Peuvent être autorisés à la demande du locataire et moyennant l’accord préalable et écrit du Collège communal, après avis du Directeur de Centre :</w:t>
      </w:r>
    </w:p>
    <w:p w14:paraId="246D0967" w14:textId="77777777" w:rsidR="00FA649D" w:rsidRDefault="00FA649D" w:rsidP="00FA649D">
      <w:pPr>
        <w:pStyle w:val="ArticleNiv3"/>
      </w:pPr>
      <w:proofErr w:type="gramStart"/>
      <w:r>
        <w:t>les</w:t>
      </w:r>
      <w:proofErr w:type="gramEnd"/>
      <w:r>
        <w:t xml:space="preserve"> sous-locations à des tiers de parties du lot adjugé, d’une superficie d’un seul tenant inférieure à celle légalement requise pour pouvoir être chassée à tir ;</w:t>
      </w:r>
    </w:p>
    <w:p w14:paraId="060E6E1E" w14:textId="77777777" w:rsidR="00FA649D" w:rsidRDefault="00FA649D" w:rsidP="00FA649D">
      <w:pPr>
        <w:pStyle w:val="ArticleNiv3"/>
      </w:pPr>
      <w:proofErr w:type="gramStart"/>
      <w:r>
        <w:t>les</w:t>
      </w:r>
      <w:proofErr w:type="gramEnd"/>
      <w:r>
        <w:t xml:space="preserve"> échanges de territoires avec des tiers ;</w:t>
      </w:r>
    </w:p>
    <w:p w14:paraId="72A32320" w14:textId="77777777" w:rsidR="00FA649D" w:rsidRDefault="00FA649D" w:rsidP="00FA649D">
      <w:pPr>
        <w:pStyle w:val="ArticleNiv3"/>
      </w:pPr>
      <w:proofErr w:type="gramStart"/>
      <w:r>
        <w:t>les</w:t>
      </w:r>
      <w:proofErr w:type="gramEnd"/>
      <w:r>
        <w:t xml:space="preserve"> accords conclus avec des tiers leur permettant de chasser sur une partie du lot adjugé ;</w:t>
      </w:r>
    </w:p>
    <w:p w14:paraId="77878599" w14:textId="77777777" w:rsidR="00FA649D" w:rsidRDefault="00FA649D" w:rsidP="00FA649D">
      <w:pPr>
        <w:pStyle w:val="ArticleNiv3"/>
      </w:pPr>
      <w:proofErr w:type="gramStart"/>
      <w:r>
        <w:t>les</w:t>
      </w:r>
      <w:proofErr w:type="gramEnd"/>
      <w:r>
        <w:t xml:space="preserve"> conventions passées avec des tiers leur permettant d’établir des postes de tir à des emplacements définis du lot adjugé.</w:t>
      </w:r>
    </w:p>
    <w:p w14:paraId="251D2BE8" w14:textId="77777777" w:rsidR="00FA649D" w:rsidRDefault="00FA649D" w:rsidP="00FA649D">
      <w:pPr>
        <w:pStyle w:val="ArticleNiv2"/>
      </w:pPr>
      <w:r>
        <w:t>Ces sous-locations, échanges, accords et conventions ne peuvent être autorisés que dans le seul but de corriger les limites de lots de chasse voisins, soit afin de rencontrer certaines dispositions légales, soit afin de permettre une meilleure gestion cynégétique.</w:t>
      </w:r>
    </w:p>
    <w:p w14:paraId="6B2A175B" w14:textId="77777777" w:rsidR="00FA649D" w:rsidRDefault="00FA649D" w:rsidP="00FA649D">
      <w:pPr>
        <w:pStyle w:val="ArticleNiv2"/>
      </w:pPr>
      <w:r>
        <w:t>Les sous-locataires ou cosignataires de ces accords ou conventions sont tenus solidairement au respect des clauses du cahier des charges dans les parties du lot qui les concernent.</w:t>
      </w:r>
    </w:p>
    <w:p w14:paraId="48CEE11D" w14:textId="77777777" w:rsidR="00FA649D" w:rsidRDefault="00FA649D" w:rsidP="00FA649D">
      <w:pPr>
        <w:pStyle w:val="ArticleNiv2"/>
      </w:pPr>
      <w:r>
        <w:t>En cas de sous-location, le locataire demeure seul responsable sur le plan financier.</w:t>
      </w:r>
    </w:p>
    <w:p w14:paraId="439EF478" w14:textId="77777777" w:rsidR="00FA649D" w:rsidRDefault="00FA649D" w:rsidP="00FA649D">
      <w:pPr>
        <w:pStyle w:val="ArticleNiv2"/>
      </w:pPr>
      <w:r>
        <w:t xml:space="preserve">Les sous-locataires et cosignataires des accords ou conventions autres que le locataire ne </w:t>
      </w:r>
      <w:proofErr w:type="gramStart"/>
      <w:r>
        <w:t>pourront</w:t>
      </w:r>
      <w:proofErr w:type="gramEnd"/>
      <w:r>
        <w:t xml:space="preserve"> se prévaloir de la disposition visée à l’article 7 lors de la prochaine location du droit de chasse dans les parties du lot où ils ont pu chasser.</w:t>
      </w:r>
    </w:p>
    <w:p w14:paraId="44157EC1" w14:textId="77777777" w:rsidR="00FA649D" w:rsidRDefault="00FA649D" w:rsidP="00FA649D">
      <w:pPr>
        <w:pStyle w:val="Article"/>
      </w:pPr>
      <w:r>
        <w:t>Réduction de loyer et résiliation du bail pour cause d'aliénation.</w:t>
      </w:r>
    </w:p>
    <w:p w14:paraId="07AC7FD1" w14:textId="77777777" w:rsidR="00FA649D" w:rsidRDefault="00FA649D" w:rsidP="00FA649D">
      <w:pPr>
        <w:pStyle w:val="ArticleNiv2"/>
      </w:pPr>
      <w:r>
        <w:t>En cas d'aliénation de tout le fonds, le bail est résilié de plein droit.</w:t>
      </w:r>
    </w:p>
    <w:p w14:paraId="7FB03642" w14:textId="77777777" w:rsidR="00FA649D" w:rsidRDefault="00FA649D" w:rsidP="00FA649D">
      <w:pPr>
        <w:pStyle w:val="ArticleNiv2"/>
      </w:pPr>
      <w:r>
        <w:t>En cas d'aliénation d'une partie seulement du fonds, une réduction proportionnelle du loyer peut être accordée par le Collège communal à la demande du locataire à partir de la 1</w:t>
      </w:r>
      <w:r>
        <w:rPr>
          <w:vertAlign w:val="superscript"/>
        </w:rPr>
        <w:t xml:space="preserve">ère </w:t>
      </w:r>
      <w:r>
        <w:t>échéance survenant après la date d'enregistrement de l'acte d'aliénation. Si cette partie couvre plus du tiers de la superficie initiale du lot, le locataire ainsi que le Collège communal auront chacun le droit de résilier le bail.</w:t>
      </w:r>
    </w:p>
    <w:p w14:paraId="261E912B" w14:textId="77777777" w:rsidR="00FA649D" w:rsidRDefault="00FA649D" w:rsidP="00FA649D">
      <w:pPr>
        <w:pStyle w:val="Article"/>
      </w:pPr>
      <w:r>
        <w:t>Augmentation de loyer pour cause d’acquisition.</w:t>
      </w:r>
    </w:p>
    <w:p w14:paraId="7DB3D697" w14:textId="77777777" w:rsidR="00FA649D" w:rsidRDefault="00FA649D" w:rsidP="00FA649D">
      <w:r>
        <w:t>En cas d’acquisition par le bailleur de parcelles totalement enclavées dans le lot de chasse, ne répondant pas aux conditions de superficie imposées par l’article 2</w:t>
      </w:r>
      <w:r>
        <w:rPr>
          <w:i/>
        </w:rPr>
        <w:t>bis</w:t>
      </w:r>
      <w:r>
        <w:t xml:space="preserve"> de la loi sur la chasse, le locataire bénéficiera d’office du droit de chasse sur ces parcelles et une augmentation proportionnelle du loyer sera exigée à partir de la 1</w:t>
      </w:r>
      <w:r>
        <w:rPr>
          <w:vertAlign w:val="superscript"/>
        </w:rPr>
        <w:t>ère</w:t>
      </w:r>
      <w:r>
        <w:t xml:space="preserve"> échéance survenant après la date d’acquisition des parcelles.</w:t>
      </w:r>
    </w:p>
    <w:p w14:paraId="773C52FE" w14:textId="77777777" w:rsidR="00FA649D" w:rsidRDefault="00FA649D" w:rsidP="00FA649D">
      <w:r>
        <w:t>En cas d'acquisition par le bailleur de parcelles jouxtant le lot de chasse, ne répondant pas aux conditions de superficie imposées par l'article 2</w:t>
      </w:r>
      <w:r>
        <w:rPr>
          <w:i/>
        </w:rPr>
        <w:t>bis</w:t>
      </w:r>
      <w:r>
        <w:t xml:space="preserve"> de la loi sur la chasse, et pour autant qu'au jour de cette acquisition, le locataire soit la seule personne en mesure d'exercer le droit de chasse sur ces parcelles, ce dernier y bénéficiera d'office du droit de chasse et une augmentation proportionnelle du loyer sera exigée à partir de la 1</w:t>
      </w:r>
      <w:r>
        <w:rPr>
          <w:vertAlign w:val="superscript"/>
        </w:rPr>
        <w:t>ère</w:t>
      </w:r>
      <w:r>
        <w:t xml:space="preserve"> échéance survenant après la date d'acquisition des parcelles.</w:t>
      </w:r>
    </w:p>
    <w:p w14:paraId="6048C917" w14:textId="77777777" w:rsidR="00FA649D" w:rsidRDefault="00FA649D" w:rsidP="00FA649D">
      <w:r>
        <w:t>Le Collège communal avise le locataire de l'acquisition de parcelles la jouxtant. A défaut de la part du locataire de pouvoir produire les documents prouvant le caractère exclusif de son droit de chasse potentiel sur les parcelles acquises dans les trente jours de la notification, il sera procédé à une adjudication publique de celles-ci.</w:t>
      </w:r>
    </w:p>
    <w:p w14:paraId="63576A12" w14:textId="77777777" w:rsidR="00FA649D" w:rsidRDefault="00FA649D" w:rsidP="00FA649D"/>
    <w:p w14:paraId="40C928C2" w14:textId="77777777" w:rsidR="00D91BB7" w:rsidRDefault="00D91BB7" w:rsidP="00FA649D"/>
    <w:p w14:paraId="2B8D11E7" w14:textId="77777777" w:rsidR="00FA649D" w:rsidRDefault="00FA649D" w:rsidP="00FA649D">
      <w:pPr>
        <w:pStyle w:val="Article"/>
      </w:pPr>
      <w:r>
        <w:lastRenderedPageBreak/>
        <w:t>Résiliation du bail de plein droit.</w:t>
      </w:r>
    </w:p>
    <w:p w14:paraId="5DF48AD5" w14:textId="77777777" w:rsidR="00FA649D" w:rsidRDefault="00FA649D" w:rsidP="00FA649D">
      <w:pPr>
        <w:pStyle w:val="ArticleNiv2"/>
      </w:pPr>
      <w:r>
        <w:t>Lorsque le locataire est responsable de manquements graves aux obligations, sur proposition du Directeur de Centre ou du Directeur financier, le Collège communal peut résilier le bail :</w:t>
      </w:r>
    </w:p>
    <w:p w14:paraId="097EE4E6" w14:textId="77777777" w:rsidR="00FA649D" w:rsidRDefault="00FA649D" w:rsidP="00FA649D">
      <w:pPr>
        <w:pStyle w:val="ArticleNiv3"/>
      </w:pPr>
      <w:proofErr w:type="gramStart"/>
      <w:r>
        <w:t>en</w:t>
      </w:r>
      <w:proofErr w:type="gramEnd"/>
      <w:r>
        <w:t xml:space="preserve"> cas de non-paiement du loyer dans les délais impartis, après mise en demeure par le Directeur financier ;</w:t>
      </w:r>
    </w:p>
    <w:p w14:paraId="64200506" w14:textId="77777777" w:rsidR="00FA649D" w:rsidRDefault="00FA649D" w:rsidP="00FA649D">
      <w:pPr>
        <w:pStyle w:val="ArticleNiv3"/>
      </w:pPr>
      <w:proofErr w:type="gramStart"/>
      <w:r>
        <w:t>si</w:t>
      </w:r>
      <w:proofErr w:type="gramEnd"/>
      <w:r>
        <w:t xml:space="preserve"> le locataire n'exerce pas ou ne fait pas exercer son droit de chasse, après mise en demeure du Directeur de Centre ;</w:t>
      </w:r>
    </w:p>
    <w:p w14:paraId="3B6D9D3C" w14:textId="77777777" w:rsidR="00FA649D" w:rsidRPr="009968C9" w:rsidRDefault="00FA649D" w:rsidP="00FA649D">
      <w:pPr>
        <w:pStyle w:val="ArticleNiv3"/>
      </w:pPr>
      <w:proofErr w:type="gramStart"/>
      <w:r>
        <w:t>si</w:t>
      </w:r>
      <w:proofErr w:type="gramEnd"/>
      <w:r>
        <w:t xml:space="preserve"> le locataire ne prend pas dans les délais impartis les mesures correctives afin de se conformer aux dispositions du cahier des charges, après mise en demeure du Directeur de Centre ;</w:t>
      </w:r>
    </w:p>
    <w:p w14:paraId="7735C968" w14:textId="77777777" w:rsidR="00FA649D" w:rsidRPr="00412830" w:rsidRDefault="00FA649D" w:rsidP="00FA649D">
      <w:pPr>
        <w:pStyle w:val="ArticleNiv3"/>
      </w:pPr>
      <w:proofErr w:type="gramStart"/>
      <w:r>
        <w:t>si</w:t>
      </w:r>
      <w:proofErr w:type="gramEnd"/>
      <w:r>
        <w:t xml:space="preserve"> le locataire commet tout manquement grave mettant en péril la certification PEFC du bailleur ;</w:t>
      </w:r>
    </w:p>
    <w:p w14:paraId="657C86FA" w14:textId="77777777" w:rsidR="00FA649D" w:rsidRDefault="00FA649D" w:rsidP="00FA649D">
      <w:pPr>
        <w:pStyle w:val="ArticleNiv3"/>
      </w:pPr>
      <w:proofErr w:type="gramStart"/>
      <w:r>
        <w:t>si</w:t>
      </w:r>
      <w:proofErr w:type="gramEnd"/>
      <w:r>
        <w:t xml:space="preserve"> le locataire ne respecte pas les quotas de tir réglementaires ou contractuels imposés le cas échéant par le bailleur ;</w:t>
      </w:r>
    </w:p>
    <w:p w14:paraId="755309BF" w14:textId="77777777" w:rsidR="00FA649D" w:rsidRDefault="00FA649D" w:rsidP="00FA649D">
      <w:pPr>
        <w:pStyle w:val="ArticleNiv3"/>
      </w:pPr>
      <w:proofErr w:type="gramStart"/>
      <w:r>
        <w:t>si</w:t>
      </w:r>
      <w:proofErr w:type="gramEnd"/>
      <w:r>
        <w:t xml:space="preserve"> le locataire refuse de mettre en œuvre totalement ou partiellement la stratégie globale visant à ramener les impacts négatifs liés à l’excès de gibier (dégâts aux cultures, forêts, biodiversité) à un niveau acceptable ; </w:t>
      </w:r>
    </w:p>
    <w:p w14:paraId="0DA9D7EE" w14:textId="77777777" w:rsidR="00FA649D" w:rsidRDefault="00FA649D" w:rsidP="00FA649D">
      <w:pPr>
        <w:pStyle w:val="ArticleNiv3"/>
      </w:pPr>
      <w:proofErr w:type="gramStart"/>
      <w:r>
        <w:t>suite</w:t>
      </w:r>
      <w:proofErr w:type="gramEnd"/>
      <w:r>
        <w:t xml:space="preserve"> à l'inobservation répétée des clauses du cahier des charges, après mise en demeure du Directeur de Centre ;</w:t>
      </w:r>
    </w:p>
    <w:p w14:paraId="47CD7C88" w14:textId="77777777" w:rsidR="00FA649D" w:rsidRDefault="00FA649D" w:rsidP="00FA649D">
      <w:pPr>
        <w:pStyle w:val="ArticleNiv3"/>
      </w:pPr>
      <w:proofErr w:type="gramStart"/>
      <w:r>
        <w:t>si</w:t>
      </w:r>
      <w:proofErr w:type="gramEnd"/>
      <w:r>
        <w:t xml:space="preserve"> le locataire ne fournit pas dans les 30 jours calendrier un certificat de bonnes conduite, vie et mœurs si le Collège communal ou le Directeur de Centre lui en fait la demande en cours de bail ;</w:t>
      </w:r>
    </w:p>
    <w:p w14:paraId="312F5AA7" w14:textId="77777777" w:rsidR="00FA649D" w:rsidRDefault="00FA649D" w:rsidP="00FA649D">
      <w:pPr>
        <w:pStyle w:val="ArticleNiv3"/>
      </w:pPr>
      <w:proofErr w:type="gramStart"/>
      <w:r>
        <w:t>si</w:t>
      </w:r>
      <w:proofErr w:type="gramEnd"/>
      <w:r>
        <w:t xml:space="preserve"> le locataire subit une condamnation définitive à la loi sur la chasse ou à la loi sur la conservation de la nature ;</w:t>
      </w:r>
    </w:p>
    <w:p w14:paraId="00B58C11" w14:textId="77777777" w:rsidR="00FA649D" w:rsidRDefault="00FA649D" w:rsidP="00FA649D">
      <w:pPr>
        <w:pStyle w:val="ArticleNiv3"/>
      </w:pPr>
      <w:proofErr w:type="gramStart"/>
      <w:r>
        <w:t>si</w:t>
      </w:r>
      <w:proofErr w:type="gramEnd"/>
      <w:r>
        <w:t xml:space="preserve"> le locataire utilise les services d'un agent de la Division de la Nature et des Forêts pour la gestion cynégétique du lot.</w:t>
      </w:r>
    </w:p>
    <w:p w14:paraId="4FCB2205" w14:textId="77777777" w:rsidR="00FA649D" w:rsidRDefault="00FA649D" w:rsidP="00FA649D">
      <w:pPr>
        <w:pStyle w:val="ArticleNiv2"/>
      </w:pPr>
      <w:r>
        <w:t>Le Collège communal doit au préalable inviter le locataire à présenter sa défense.</w:t>
      </w:r>
    </w:p>
    <w:p w14:paraId="3EE4FC59" w14:textId="77777777" w:rsidR="00FA649D" w:rsidRDefault="00FA649D" w:rsidP="00FA649D">
      <w:pPr>
        <w:pStyle w:val="ArticleNiv2"/>
      </w:pPr>
      <w:r>
        <w:t>La résiliation du bail a lieu de plein droit sans intervention préalable du Juge et sans indemnités de rupture.</w:t>
      </w:r>
    </w:p>
    <w:p w14:paraId="71B1C22A" w14:textId="77777777" w:rsidR="00FA649D" w:rsidRDefault="00FA649D" w:rsidP="00FA649D">
      <w:pPr>
        <w:pStyle w:val="ArticleNiv2"/>
      </w:pPr>
      <w:r>
        <w:t>La notification de la résiliation du bail est faite par pli recommandé ; elle sort ses effets le 10</w:t>
      </w:r>
      <w:r>
        <w:rPr>
          <w:vertAlign w:val="superscript"/>
        </w:rPr>
        <w:t>ème</w:t>
      </w:r>
      <w:r>
        <w:t xml:space="preserve"> jour qui suit son dépôt à la Poste, à moins que le Collège communal ne fixe un autre délai.</w:t>
      </w:r>
    </w:p>
    <w:p w14:paraId="4B72AB4F" w14:textId="77777777" w:rsidR="00FA649D" w:rsidRDefault="00FA649D" w:rsidP="00FA649D">
      <w:pPr>
        <w:pStyle w:val="Article"/>
      </w:pPr>
      <w:r>
        <w:t>Décès du locataire.</w:t>
      </w:r>
    </w:p>
    <w:p w14:paraId="0922DED4" w14:textId="77777777" w:rsidR="00FA649D" w:rsidRDefault="00FA649D" w:rsidP="00FA649D">
      <w:pPr>
        <w:pStyle w:val="ArticleNiv2"/>
      </w:pPr>
      <w:r>
        <w:t>En cas de décès du locataire, ses héritiers peuvent renoncer à la continuation du bail à condition d’exercer cette faculté dans les 60 jours calendrier.  Cette décision doit être signifiée par lettre recommandée au Collège communal.  Dans le cas contraire, les héritiers désigneront parmi eux, dans le même délai, celui qui assumera la responsabilité de locataire.  A la date de sa désignation, celui-ci devra obligatoirement répondre aux conditions visées à l’article 7.</w:t>
      </w:r>
    </w:p>
    <w:p w14:paraId="38148C3B" w14:textId="05B89E2D" w:rsidR="00FA649D" w:rsidRDefault="00FA649D" w:rsidP="00FA649D">
      <w:pPr>
        <w:pStyle w:val="ArticleNiv2"/>
      </w:pPr>
      <w:r>
        <w:t>Si les héritiers renoncent à la continuation du bail ou y sont contraints, un des associés a le droit d’en reprendre le bénéfice aux mêmes conditions.  Cette décision doit être signifiée par lettre recommandée au Collège communal dans les 30 jours calendrier à dater de la renonciation par les héritiers.</w:t>
      </w:r>
    </w:p>
    <w:p w14:paraId="0754960B" w14:textId="77777777" w:rsidR="00FA649D" w:rsidRPr="00112B5A" w:rsidRDefault="00FA649D" w:rsidP="00FA649D"/>
    <w:p w14:paraId="530CD8F8" w14:textId="77777777" w:rsidR="00FA649D" w:rsidRDefault="00FA649D" w:rsidP="00FA649D">
      <w:pPr>
        <w:pStyle w:val="Chapitre"/>
      </w:pPr>
      <w:r>
        <w:t>Dispositions conservatoires</w:t>
      </w:r>
    </w:p>
    <w:p w14:paraId="2EEC8C0B" w14:textId="77777777" w:rsidR="00FA649D" w:rsidRDefault="00FA649D" w:rsidP="00FA649D">
      <w:pPr>
        <w:pStyle w:val="Article"/>
      </w:pPr>
      <w:r>
        <w:t>Apport et reprise d’animaux.</w:t>
      </w:r>
    </w:p>
    <w:p w14:paraId="43C555B1" w14:textId="77777777" w:rsidR="00FA649D" w:rsidRDefault="00FA649D" w:rsidP="00FA649D">
      <w:pPr>
        <w:pStyle w:val="ArticleNiv2"/>
      </w:pPr>
      <w:r>
        <w:t>L'introduction dans le lot par le locataire de tout animal gibier ou non gibier, en liberté ou sous clôture, est interdite.</w:t>
      </w:r>
    </w:p>
    <w:p w14:paraId="04753D06" w14:textId="77777777" w:rsidR="00FA649D" w:rsidRDefault="00FA649D" w:rsidP="00FA649D">
      <w:pPr>
        <w:pStyle w:val="ArticleNiv2"/>
      </w:pPr>
      <w:r>
        <w:t>Le Chef de Cantonnement peut faire abattre, aux conditions qu’il fixe et au besoin par le service forestier, tout animal introduit dans le lot en infraction aux dispositions de l’alinéa 1</w:t>
      </w:r>
      <w:r>
        <w:rPr>
          <w:vertAlign w:val="superscript"/>
        </w:rPr>
        <w:t>er</w:t>
      </w:r>
      <w:r>
        <w:t>.</w:t>
      </w:r>
    </w:p>
    <w:p w14:paraId="20B2BADD" w14:textId="77777777" w:rsidR="00FA649D" w:rsidRDefault="00FA649D" w:rsidP="00FA649D">
      <w:pPr>
        <w:pStyle w:val="ArticleNiv2"/>
      </w:pPr>
      <w:r>
        <w:t>Tout animal abattu en application de l’alinéa 2 est évacué et éliminé aux conditions fixées par le Chef de Cantonnement et le locataire ne peut réclamer ni la dépouille de l’animal, ni son trophée éventuel, ni aucune indemnité quelconque.</w:t>
      </w:r>
    </w:p>
    <w:p w14:paraId="03B78628" w14:textId="77777777" w:rsidR="00FA649D" w:rsidRDefault="00FA649D" w:rsidP="00FA649D">
      <w:pPr>
        <w:pStyle w:val="ArticleNiv2"/>
      </w:pPr>
      <w:r>
        <w:lastRenderedPageBreak/>
        <w:t>La reprise, dans le lot par le locataire, de faisans (coqs ou poules) destinés à la conservation ou à l'élevage est interdite.</w:t>
      </w:r>
    </w:p>
    <w:p w14:paraId="32A26627" w14:textId="77777777" w:rsidR="00FA649D" w:rsidRDefault="00FA649D" w:rsidP="00FA649D">
      <w:pPr>
        <w:pStyle w:val="ArticleNiv2"/>
      </w:pPr>
      <w:r>
        <w:t>Le Chef de Cantonnement peut ordonner de remettre en liberté les faisans repris en infraction avec les dispositions de l'alinéa 4.</w:t>
      </w:r>
    </w:p>
    <w:p w14:paraId="1B35B3CC" w14:textId="77777777" w:rsidR="00FA649D" w:rsidRDefault="00FA649D" w:rsidP="00FA649D">
      <w:pPr>
        <w:pStyle w:val="ArticleNiv2"/>
      </w:pPr>
      <w:r>
        <w:t>La construction et l’utilisation dans le lot par le locataire d'installations, telles que des volières, permettant de garder, même temporairement, du gibier, sont interdites.</w:t>
      </w:r>
    </w:p>
    <w:p w14:paraId="763F537A" w14:textId="77777777" w:rsidR="00FA649D" w:rsidRDefault="00FA649D" w:rsidP="00FA649D">
      <w:pPr>
        <w:pStyle w:val="Article"/>
      </w:pPr>
      <w:r>
        <w:t>Circulation du gibier et clôtures.</w:t>
      </w:r>
    </w:p>
    <w:p w14:paraId="76725C43" w14:textId="77777777" w:rsidR="00FA649D" w:rsidRDefault="00FA649D" w:rsidP="00FA649D">
      <w:pPr>
        <w:pStyle w:val="ArticleNiv2"/>
      </w:pPr>
      <w:r>
        <w:t>L’installation de toute clôture par le locataire est soumise à l’autorisation préalable du Collège communal, après avis du Directeur de Centre.  A défaut, le Collège communal peut exiger du locataire l’enlèvement de la clôture ou la faire enlever aux frais du locataire.</w:t>
      </w:r>
    </w:p>
    <w:p w14:paraId="1C4A7ABE" w14:textId="77777777" w:rsidR="00FA649D" w:rsidRDefault="00FA649D" w:rsidP="00FA649D">
      <w:pPr>
        <w:pStyle w:val="ArticleNiv2"/>
      </w:pPr>
      <w:r>
        <w:t>Toute clôture installée par le locataire appartient d’office au bailleur.</w:t>
      </w:r>
    </w:p>
    <w:p w14:paraId="70537CFF" w14:textId="77777777" w:rsidR="00FA649D" w:rsidRPr="00E069A4" w:rsidRDefault="00FA649D" w:rsidP="00FA649D">
      <w:pPr>
        <w:pStyle w:val="ArticleNiv2"/>
      </w:pPr>
      <w:r w:rsidRPr="00E069A4">
        <w:t>Le locataire est responsable de l’entretien des clôtures de protection des surfaces agricoles. Si 6 mois avant l’échéance du bail, le bailleur estime que ces clôtures ont perdu de leur efficacité, faute d’entretien, il ordonnera au locataire de les remettre en état. Au besoin, il y fera procéder aux frais du locataire.</w:t>
      </w:r>
    </w:p>
    <w:p w14:paraId="4DEF48C2" w14:textId="77777777" w:rsidR="00FA649D" w:rsidRDefault="00FA649D" w:rsidP="00FA649D">
      <w:pPr>
        <w:pStyle w:val="ArticleNiv2"/>
      </w:pPr>
      <w:r>
        <w:t>Le Chef de Cantonnement peut faire installer dans le lot toute clôture qu’il juge nécessaire moyennant l’avertissement du Collège communal.</w:t>
      </w:r>
    </w:p>
    <w:p w14:paraId="6FC719B5" w14:textId="77777777" w:rsidR="00FA649D" w:rsidRDefault="00FA649D" w:rsidP="00FA649D">
      <w:pPr>
        <w:pStyle w:val="ArticleNiv2"/>
      </w:pPr>
      <w:r>
        <w:t>Si l’étendue totale des parcelles sous clôture dans le lot atteint le tiers de l’étendue du lot, le locataire a le droit de résilier le bail.</w:t>
      </w:r>
    </w:p>
    <w:p w14:paraId="44322FC9" w14:textId="77777777" w:rsidR="00FA649D" w:rsidRPr="00E069A4" w:rsidRDefault="00FA649D" w:rsidP="00FA649D">
      <w:pPr>
        <w:pStyle w:val="ArticleNiv2"/>
      </w:pPr>
      <w:r w:rsidRPr="00E069A4">
        <w:t>Si la présence de gibier est constatée dans une parcelle clôturée, le Chef de Cantonnement peut ordonner au locataire d’expulser ou de tirer le gibier en question. A défaut de l’avoir fait dans le délai prescrit par le Chef de Cantonnement, ce dernier peut y faire procéder par tout titulaire d’un permis de chasse, aux frais du locataire. Le locataire assume la responsabilité des dommages éventuels à la végétation se trouvant à l’intérieur des parcelles clôturées.</w:t>
      </w:r>
    </w:p>
    <w:p w14:paraId="546015C0" w14:textId="77777777" w:rsidR="00FA649D" w:rsidRDefault="00FA649D" w:rsidP="00FA649D">
      <w:pPr>
        <w:pStyle w:val="Article"/>
      </w:pPr>
      <w:r>
        <w:t>Gestion du biotope en faveur du gibier.</w:t>
      </w:r>
    </w:p>
    <w:p w14:paraId="052F3787" w14:textId="77777777" w:rsidR="00FA649D" w:rsidRDefault="00FA649D" w:rsidP="00FA649D">
      <w:pPr>
        <w:pStyle w:val="ArticleNiv2"/>
      </w:pPr>
      <w:r>
        <w:t>Il est interdit au locataire de créer des gagnages dans le lot, sans l’accord préalable du Chef de cantonnement.</w:t>
      </w:r>
    </w:p>
    <w:p w14:paraId="7F71E22C" w14:textId="77777777" w:rsidR="00FA649D" w:rsidRDefault="00FA649D" w:rsidP="00FA649D">
      <w:pPr>
        <w:pStyle w:val="Article"/>
      </w:pPr>
      <w:r>
        <w:t>Distribution d’aliments au grand gibier.</w:t>
      </w:r>
    </w:p>
    <w:p w14:paraId="4EFEB1A9" w14:textId="77777777" w:rsidR="00FA649D" w:rsidRDefault="00FA649D" w:rsidP="00FA649D">
      <w:pPr>
        <w:pStyle w:val="ArticleNiv2"/>
      </w:pPr>
      <w:r>
        <w:t>Tout nourrissage est interdit.  En ce qui concerne le nourrissage du grand gibier, le Directeur de Centre peut déterminer et imposer au locataire :</w:t>
      </w:r>
    </w:p>
    <w:p w14:paraId="1BF28E04" w14:textId="77777777" w:rsidR="00FA649D" w:rsidRDefault="00FA649D" w:rsidP="00FA649D">
      <w:pPr>
        <w:pStyle w:val="ArticleNiv3"/>
      </w:pPr>
      <w:proofErr w:type="gramStart"/>
      <w:r>
        <w:t>la</w:t>
      </w:r>
      <w:proofErr w:type="gramEnd"/>
      <w:r>
        <w:t xml:space="preserve"> nature des aliments à distribuer parmi ceux autorisés par la législation ;</w:t>
      </w:r>
    </w:p>
    <w:p w14:paraId="433EFF54" w14:textId="77777777" w:rsidR="00FA649D" w:rsidRDefault="00FA649D" w:rsidP="00FA649D">
      <w:pPr>
        <w:pStyle w:val="ArticleNiv3"/>
      </w:pPr>
      <w:proofErr w:type="gramStart"/>
      <w:r>
        <w:t>les</w:t>
      </w:r>
      <w:proofErr w:type="gramEnd"/>
      <w:r>
        <w:t xml:space="preserve"> quantités de ces aliments qui peuvent ou doivent être distribuées ;</w:t>
      </w:r>
    </w:p>
    <w:p w14:paraId="62D6051E" w14:textId="77777777" w:rsidR="00FA649D" w:rsidRDefault="00FA649D" w:rsidP="00FA649D">
      <w:pPr>
        <w:pStyle w:val="ArticleNiv3"/>
      </w:pPr>
      <w:proofErr w:type="gramStart"/>
      <w:r>
        <w:t>la</w:t>
      </w:r>
      <w:proofErr w:type="gramEnd"/>
      <w:r>
        <w:t xml:space="preserve"> période durant laquelle le nourrissage est rendu obligatoire ;</w:t>
      </w:r>
    </w:p>
    <w:p w14:paraId="478F344D" w14:textId="77777777" w:rsidR="00FA649D" w:rsidRDefault="00FA649D" w:rsidP="00FA649D">
      <w:pPr>
        <w:pStyle w:val="ArticleNiv3"/>
      </w:pPr>
      <w:proofErr w:type="gramStart"/>
      <w:r>
        <w:t>les</w:t>
      </w:r>
      <w:proofErr w:type="gramEnd"/>
      <w:r>
        <w:t xml:space="preserve"> endroits où les aliments peuvent être distribués ;</w:t>
      </w:r>
    </w:p>
    <w:p w14:paraId="5BD65718" w14:textId="77777777" w:rsidR="00FA649D" w:rsidRDefault="00FA649D" w:rsidP="00FA649D">
      <w:pPr>
        <w:pStyle w:val="ArticleNiv3"/>
      </w:pPr>
      <w:proofErr w:type="gramStart"/>
      <w:r>
        <w:t>le</w:t>
      </w:r>
      <w:proofErr w:type="gramEnd"/>
      <w:r>
        <w:t xml:space="preserve"> mode de distribution des aliments.</w:t>
      </w:r>
    </w:p>
    <w:p w14:paraId="48D82DDA" w14:textId="77777777" w:rsidR="00FA649D" w:rsidRDefault="00FA649D" w:rsidP="00FA649D">
      <w:pPr>
        <w:pStyle w:val="ArticleNiv2"/>
      </w:pPr>
      <w:r>
        <w:t>Pour l’application de l’alinéa 1</w:t>
      </w:r>
      <w:r>
        <w:rPr>
          <w:vertAlign w:val="superscript"/>
        </w:rPr>
        <w:t>er</w:t>
      </w:r>
      <w:r>
        <w:t>, le Directeur de Centre tient compte, dans un souci de bonne coordination du nourrissage du grand gibier, des dispositions éventuellement arrêtées en la matière par le conseil cynégétique agréé duquel ressortit le lot.</w:t>
      </w:r>
    </w:p>
    <w:p w14:paraId="2863E0E2" w14:textId="77777777" w:rsidR="00FA649D" w:rsidRDefault="00FA649D" w:rsidP="00FA649D">
      <w:pPr>
        <w:pStyle w:val="ArticleNiv2"/>
      </w:pPr>
      <w:r>
        <w:t>Le nourrissage dissuasif du Sanglier est interdit dans le lot et le locataire s'engage à ne pas nourrir le sanglier à titre dissuasif dans les parcelles appartenant à d'autres propriétaires, totalement enclavées dans le lot de chasse et sur lesquelles il aurait également le droit de chasse.</w:t>
      </w:r>
    </w:p>
    <w:p w14:paraId="1AB70C08" w14:textId="77777777" w:rsidR="00FA649D" w:rsidRDefault="00FA649D" w:rsidP="00FA649D">
      <w:pPr>
        <w:pStyle w:val="Article"/>
      </w:pPr>
      <w:r>
        <w:t>Distribution d’aliments aux autres catégories de gibier.</w:t>
      </w:r>
    </w:p>
    <w:p w14:paraId="7B553EC8" w14:textId="77777777" w:rsidR="00FA649D" w:rsidRDefault="00FA649D" w:rsidP="00FA649D">
      <w:pPr>
        <w:pStyle w:val="ArticleNiv2"/>
      </w:pPr>
      <w:r>
        <w:t>La distribution d’aliments au petit gibier, au gibier d'eau et à l'autre gibier est soumise à l’autorisation préalable et écrite du Directeur de Centre qui en fixe les conditions.</w:t>
      </w:r>
    </w:p>
    <w:p w14:paraId="1056817C" w14:textId="77777777" w:rsidR="00FA649D" w:rsidRDefault="00FA649D" w:rsidP="00FA649D">
      <w:pPr>
        <w:pStyle w:val="ArticleNiv2"/>
      </w:pPr>
      <w:r>
        <w:t>Durant la saison hivernale, le Directeur de Centre peut ordonner au locataire le nourrissage du petit gibier, du gibier d’eau et de l'autre gibier aux conditions qu’il fixe.</w:t>
      </w:r>
    </w:p>
    <w:p w14:paraId="02F2706E" w14:textId="77777777" w:rsidR="00D91BB7" w:rsidRDefault="00D91BB7" w:rsidP="00D91BB7"/>
    <w:p w14:paraId="24B074E7" w14:textId="77777777" w:rsidR="00D91BB7" w:rsidRDefault="00D91BB7" w:rsidP="00D91BB7"/>
    <w:p w14:paraId="224D8C2F" w14:textId="77777777" w:rsidR="00D91BB7" w:rsidRPr="00D91BB7" w:rsidRDefault="00D91BB7" w:rsidP="00D91BB7"/>
    <w:p w14:paraId="61B22B37" w14:textId="77777777" w:rsidR="00FA649D" w:rsidRDefault="00FA649D" w:rsidP="00FA649D">
      <w:pPr>
        <w:pStyle w:val="Article"/>
      </w:pPr>
      <w:r>
        <w:lastRenderedPageBreak/>
        <w:t>Apport d’autres produits dans le lot.</w:t>
      </w:r>
    </w:p>
    <w:p w14:paraId="0B30CD87" w14:textId="77777777" w:rsidR="00FA649D" w:rsidRDefault="00FA649D" w:rsidP="00FA649D">
      <w:pPr>
        <w:pStyle w:val="ArticleNiv2"/>
      </w:pPr>
      <w:r>
        <w:t>A l’exception des aliments visés aux articles 29 et 30 ainsi que des pierres à sel, l’apport par le locataire de tout produit destiné au gibier, en ce compris le goudron végétal, le cru d’ammoniac et toute substance hormonale ou médicamenteuse, est interdit.</w:t>
      </w:r>
    </w:p>
    <w:p w14:paraId="6A4960C6" w14:textId="77777777" w:rsidR="00FA649D" w:rsidRDefault="00FA649D" w:rsidP="00FA649D">
      <w:pPr>
        <w:pStyle w:val="ArticleNiv2"/>
      </w:pPr>
      <w:r>
        <w:t>Par dérogation à l’alinéa 1</w:t>
      </w:r>
      <w:r>
        <w:rPr>
          <w:vertAlign w:val="superscript"/>
        </w:rPr>
        <w:t>er</w:t>
      </w:r>
      <w:r>
        <w:t>, le Directeur de Centre peut autoriser ou ordonner, pour des raisons sanitaires, la distribution au gibier par le locataire de substances médicamenteuses.</w:t>
      </w:r>
    </w:p>
    <w:p w14:paraId="1C1276A1" w14:textId="77777777" w:rsidR="00FA649D" w:rsidRDefault="00FA649D" w:rsidP="00FA649D">
      <w:pPr>
        <w:pStyle w:val="Article"/>
      </w:pPr>
      <w:r>
        <w:t xml:space="preserve">Protection contre les dommages causés par le gibier à la végétation du lot et amélioration du biotope. </w:t>
      </w:r>
    </w:p>
    <w:p w14:paraId="0B5DCB25" w14:textId="77777777" w:rsidR="00FA649D" w:rsidRDefault="00FA649D" w:rsidP="00FA649D">
      <w:pPr>
        <w:pStyle w:val="Article"/>
        <w:numPr>
          <w:ilvl w:val="0"/>
          <w:numId w:val="0"/>
        </w:numPr>
      </w:pPr>
      <w:r w:rsidRPr="00A17184">
        <w:rPr>
          <w:b w:val="0"/>
          <w:bCs/>
        </w:rPr>
        <w:t>Le bailleur se réserve le droit de réclamer au locataire des dédommagements en cas de dégâts occasionnés à la végétation forestière par le grand gibier s'il apparaît que le locataire n'exerce pas avec efficacité son droit de chasse. Il sera alors demandé au locataire de prendre à sa charge les frais de remise en état de la zone concernée.</w:t>
      </w:r>
    </w:p>
    <w:p w14:paraId="2846F6F3" w14:textId="77777777" w:rsidR="00FA649D" w:rsidRDefault="00FA649D" w:rsidP="00FA649D">
      <w:pPr>
        <w:pStyle w:val="Article"/>
      </w:pPr>
      <w:r>
        <w:t>Dommages causés par le gibier aux héritages voisins.</w:t>
      </w:r>
    </w:p>
    <w:p w14:paraId="457C9E12" w14:textId="77777777" w:rsidR="00FA649D" w:rsidRDefault="00FA649D" w:rsidP="00FA649D">
      <w:r>
        <w:t>Le locataire, les associés et les sous-locataires éventuels s’engagent à ne pas rechercher la responsabilité du bailleur en cas de dommages qui seraient causés par le gibier provenant du lot adjugé aux héritages riverains ou non.</w:t>
      </w:r>
    </w:p>
    <w:p w14:paraId="58C8F18D" w14:textId="77777777" w:rsidR="00FA649D" w:rsidRDefault="00FA649D" w:rsidP="00FA649D">
      <w:pPr>
        <w:pStyle w:val="Chapitre"/>
      </w:pPr>
      <w:r>
        <w:t>Dispositions cynégétiques</w:t>
      </w:r>
    </w:p>
    <w:p w14:paraId="2FE7A656" w14:textId="77777777" w:rsidR="00FA649D" w:rsidRDefault="00FA649D" w:rsidP="00FA649D">
      <w:pPr>
        <w:pStyle w:val="Article"/>
      </w:pPr>
      <w:r>
        <w:t>Modes de chasse autorisés</w:t>
      </w:r>
      <w:r>
        <w:rPr>
          <w:rStyle w:val="Appelnotedebasdep"/>
          <w:b w:val="0"/>
        </w:rPr>
        <w:footnoteReference w:id="1"/>
      </w:r>
      <w:r>
        <w:t>.</w:t>
      </w:r>
    </w:p>
    <w:p w14:paraId="64E4EB3C" w14:textId="77777777" w:rsidR="00FA649D" w:rsidRDefault="00FA649D" w:rsidP="00FA649D">
      <w:r>
        <w:t>Tous les modes de chasse autorisés par la loi peuvent être pratiqués dans le lot, à l’exception de ceux qui sont, le cas échéant, interdits par les clauses particulières reprises à l’annexe I pour des raisons soit de sécurité des personnes, soit de protection de la faune sauvage, soit encore de configuration ou de taille du lot.</w:t>
      </w:r>
    </w:p>
    <w:p w14:paraId="3D214D44" w14:textId="77777777" w:rsidR="00FA649D" w:rsidRDefault="00FA649D" w:rsidP="00FA649D">
      <w:pPr>
        <w:pStyle w:val="Article"/>
      </w:pPr>
      <w:r>
        <w:t>Présence du locataire lors de l’exercice de la chasse.</w:t>
      </w:r>
    </w:p>
    <w:p w14:paraId="419DF5D5" w14:textId="77777777" w:rsidR="00FA649D" w:rsidRDefault="00FA649D" w:rsidP="00FA649D">
      <w:pPr>
        <w:pStyle w:val="ArticleNiv2"/>
      </w:pPr>
      <w:r>
        <w:t>Toute action de chasse ne peut avoir lieu qu’en présence du locataire ou d’un associé, sauf autorisation préalable du Chef de cantonnement.</w:t>
      </w:r>
    </w:p>
    <w:p w14:paraId="63ECB4D5" w14:textId="77777777" w:rsidR="00FA649D" w:rsidRDefault="00FA649D" w:rsidP="00FA649D">
      <w:pPr>
        <w:pStyle w:val="ArticleNiv2"/>
      </w:pPr>
      <w:r>
        <w:t xml:space="preserve">La présence du locataire ou d’un associé n’est toutefois pas </w:t>
      </w:r>
      <w:proofErr w:type="gramStart"/>
      <w:r>
        <w:t>requise</w:t>
      </w:r>
      <w:proofErr w:type="gramEnd"/>
      <w:r>
        <w:t xml:space="preserve"> pour la pratique de la chasse à l’approche et à l’affût dans le lot. Le chasseur doit cependant être porteur d’une autorisation écrite et signée par le locataire, conforme au modèle repris en annexe VIII. Cette autorisation doit être exhibée à la demande du service forestier.</w:t>
      </w:r>
    </w:p>
    <w:p w14:paraId="0AE24206" w14:textId="77777777" w:rsidR="00FA649D" w:rsidRDefault="00FA649D" w:rsidP="00FA649D">
      <w:pPr>
        <w:pStyle w:val="Article"/>
      </w:pPr>
      <w:r>
        <w:t>Annonce des actions de chasse au public.</w:t>
      </w:r>
    </w:p>
    <w:p w14:paraId="250B9036" w14:textId="77777777" w:rsidR="00FA649D" w:rsidRDefault="00FA649D" w:rsidP="00FA649D">
      <w:pPr>
        <w:pStyle w:val="ArticleNiv2"/>
      </w:pPr>
      <w:r>
        <w:t>Le locataire est tenu d’informer le public des dates de battue au moyen d’affiches conformes au modèle repris en annexe IX.</w:t>
      </w:r>
    </w:p>
    <w:p w14:paraId="47A82BA7" w14:textId="77777777" w:rsidR="00FA649D" w:rsidRDefault="00FA649D" w:rsidP="00FA649D">
      <w:pPr>
        <w:pStyle w:val="ArticleNiv2"/>
      </w:pPr>
      <w:r>
        <w:t>Ces affiches doivent être posées de manière à ne pas endommager la végétation forestière.</w:t>
      </w:r>
    </w:p>
    <w:p w14:paraId="199F7CD0" w14:textId="77777777" w:rsidR="00FA649D" w:rsidRPr="000E6418" w:rsidRDefault="00FA649D" w:rsidP="00FA649D">
      <w:pPr>
        <w:pStyle w:val="ArticleNiv2"/>
        <w:rPr>
          <w:lang w:val="fr-BE"/>
        </w:rPr>
      </w:pPr>
      <w:r>
        <w:t>Les affiches jaunes regroupent toutes les journées de chasse prévues pour la saison.</w:t>
      </w:r>
      <w:r w:rsidRPr="000E6418">
        <w:rPr>
          <w:rFonts w:ascii="Calibri" w:hAnsi="Calibri" w:cs="Calibri"/>
          <w:color w:val="000000"/>
          <w:sz w:val="24"/>
          <w:szCs w:val="24"/>
          <w:lang w:val="fr-BE"/>
        </w:rPr>
        <w:t xml:space="preserve"> </w:t>
      </w:r>
      <w:r w:rsidRPr="000E6418">
        <w:rPr>
          <w:lang w:val="fr-BE"/>
        </w:rPr>
        <w:t>Elles doivent être placées au moins 48 heures avant la première date indiquée et retirées au plus tard 24 heures après la dernière journée de chasse annoncée.</w:t>
      </w:r>
    </w:p>
    <w:p w14:paraId="1683F48F" w14:textId="77777777" w:rsidR="00FA649D" w:rsidRPr="000E6418" w:rsidRDefault="00FA649D" w:rsidP="00FA649D">
      <w:pPr>
        <w:pStyle w:val="ArticleNiv2"/>
        <w:numPr>
          <w:ilvl w:val="0"/>
          <w:numId w:val="0"/>
        </w:numPr>
        <w:ind w:left="454"/>
        <w:rPr>
          <w:lang w:val="fr-BE"/>
        </w:rPr>
      </w:pPr>
      <w:r w:rsidRPr="000E6418">
        <w:rPr>
          <w:lang w:val="fr-BE"/>
        </w:rPr>
        <w:t>Les affiches rouges concernent une seule journée ou plusieurs journées consécutives.  Elles doivent être placées au moins 24 heures avant la battue et retirées dans les 24 heures qui suivent</w:t>
      </w:r>
      <w:r>
        <w:rPr>
          <w:lang w:val="fr-BE"/>
        </w:rPr>
        <w:t>. Ces affiches ne devraient reprendre que des dates consécutives pour la bonne lisibilité des usagers.  Néanmoins, si elles reprennent des dates non-consécutives, le locataire mettra en évidence la date concernée de manière à la distinguer clairement des autres dates passées ou à venir.</w:t>
      </w:r>
    </w:p>
    <w:p w14:paraId="5F49BFE1" w14:textId="77777777" w:rsidR="00FA649D" w:rsidRDefault="00FA649D" w:rsidP="00FA649D">
      <w:pPr>
        <w:pStyle w:val="ArticleNiv2"/>
      </w:pPr>
      <w:r>
        <w:t>L’apposition dans le lot de toute affiche, panneau ou indication quelconque autre que celles mentionnées ci-dessus est subordonnée à l’autorisation du Chef de Cantonnement.</w:t>
      </w:r>
    </w:p>
    <w:p w14:paraId="2B5301D7" w14:textId="77777777" w:rsidR="00FA649D" w:rsidRDefault="00FA649D" w:rsidP="00FA649D">
      <w:pPr>
        <w:pStyle w:val="ArticleNiv2"/>
      </w:pPr>
      <w:r w:rsidRPr="00F22A17">
        <w:t>Le Collège communal se réserve le droit d’un affichage spécifique pour un lieu déterminé lors d’une activité particulière.</w:t>
      </w:r>
    </w:p>
    <w:p w14:paraId="04D4ACF9" w14:textId="77777777" w:rsidR="00D91BB7" w:rsidRPr="00D91BB7" w:rsidRDefault="00D91BB7" w:rsidP="00D91BB7"/>
    <w:p w14:paraId="2A7A6C8C" w14:textId="77777777" w:rsidR="00FA649D" w:rsidRDefault="00FA649D" w:rsidP="00FA649D">
      <w:pPr>
        <w:pStyle w:val="Article"/>
      </w:pPr>
      <w:r>
        <w:lastRenderedPageBreak/>
        <w:t>Nombre de chasseurs pratiquant simultanément certains modes de chasse.</w:t>
      </w:r>
    </w:p>
    <w:p w14:paraId="35A30FBA" w14:textId="77777777" w:rsidR="00FA649D" w:rsidRDefault="00FA649D" w:rsidP="00FA649D">
      <w:r>
        <w:t>Le nombre maximum de chasseurs pouvant simultanément pratiquer certains modes de chasse dans le lot est fixé, le cas échéant, aux clauses particulières reprises en annexe I.</w:t>
      </w:r>
    </w:p>
    <w:p w14:paraId="4B9F1661" w14:textId="77777777" w:rsidR="00FA649D" w:rsidRPr="00091E8C" w:rsidRDefault="00FA649D" w:rsidP="00FA649D">
      <w:pPr>
        <w:pStyle w:val="Article"/>
      </w:pPr>
      <w:r w:rsidRPr="00091E8C">
        <w:t>Équipements d’affût.</w:t>
      </w:r>
    </w:p>
    <w:p w14:paraId="312A6FD7" w14:textId="77777777" w:rsidR="00FA649D" w:rsidRDefault="00FA649D" w:rsidP="00FA649D">
      <w:pPr>
        <w:pStyle w:val="ArticleNiv2"/>
      </w:pPr>
      <w:r>
        <w:t>Dès l’entrée en vigueur du présent bail et à tout moment par la suite, le Chef de cantonnement peut interdire au locataire d’utiliser certains équipements d’affûts existants ou peut en fixer les conditions d’utilisation.</w:t>
      </w:r>
    </w:p>
    <w:p w14:paraId="44115476" w14:textId="77777777" w:rsidR="00FA649D" w:rsidRDefault="00FA649D" w:rsidP="00FA649D">
      <w:pPr>
        <w:pStyle w:val="ArticleNiv2"/>
      </w:pPr>
      <w:r>
        <w:t xml:space="preserve">L’installation de nouveaux équipements d’affût, quels qu’ils soient, est soumise à l’autorisation préalable du Chef de Cantonnement qui peut en définir les caractéristiques et les conditions d’utilisation. </w:t>
      </w:r>
    </w:p>
    <w:p w14:paraId="67E20609" w14:textId="77777777" w:rsidR="00FA649D" w:rsidRDefault="00FA649D" w:rsidP="00FA649D">
      <w:pPr>
        <w:pStyle w:val="ArticleNiv2"/>
      </w:pPr>
      <w:r>
        <w:t>Les équipements d’affût doivent pouvoir être visités par le Service forestier à tout moment.</w:t>
      </w:r>
    </w:p>
    <w:p w14:paraId="650E78EF" w14:textId="77777777" w:rsidR="00FA649D" w:rsidRDefault="00FA649D" w:rsidP="00FA649D">
      <w:pPr>
        <w:pStyle w:val="ArticleNiv2"/>
      </w:pPr>
      <w:r>
        <w:t>Le Chef de Cantonnement peut exiger l’enlèvement par le locataire dans les 30 jours de tout équipement non conforme ou non autorisé. A défaut d’exécution, il peut faire procéder à la démolition de l’équipement aux frais du locataire et sans indemnité pour celui-ci.</w:t>
      </w:r>
    </w:p>
    <w:p w14:paraId="7E32A1B3" w14:textId="74E1EB3C" w:rsidR="00FA649D" w:rsidRPr="00112B5A" w:rsidRDefault="00FA649D" w:rsidP="00FA649D">
      <w:pPr>
        <w:pStyle w:val="ArticleNiv2"/>
      </w:pPr>
      <w:r>
        <w:t>Tout équipement autorisé ou non, établi dans le lot par le locataire revient automatiquement au bailleur à la fin du bail. Moyennant avertissement au moins 6 mois avant l’échéance du bail, le Chef de Cantonnement peut toutefois faire enlever ces équipements par le locataire. A défaut d’exécution à la date d’échéance du bail, il peut faire procéder à l'enlèvement ou à la démolition de l’équipement aux frais du locataire et sans indemnité pour celui-ci.</w:t>
      </w:r>
    </w:p>
    <w:p w14:paraId="777241C4" w14:textId="77777777" w:rsidR="00FA649D" w:rsidRDefault="00FA649D" w:rsidP="00FA649D">
      <w:pPr>
        <w:pStyle w:val="Article"/>
      </w:pPr>
      <w:r>
        <w:t>Enceintes et postes de battue.</w:t>
      </w:r>
    </w:p>
    <w:p w14:paraId="7551F236" w14:textId="77777777" w:rsidR="00FA649D" w:rsidRDefault="00FA649D" w:rsidP="00FA649D">
      <w:pPr>
        <w:pStyle w:val="ArticleNiv2"/>
      </w:pPr>
      <w:r>
        <w:t xml:space="preserve">Un mois au moins avant la date de la première battue, le locataire est tenu de remettre au Chef de Cantonnement à titre d’information, une carte de l’Institut Géographique National, sur laquelle sont localisés les limites des enceintes, les lignes de postes et les postes de tir eux-mêmes. Chaque enceinte et chaque poste doivent faire l’objet d’une numérotation séparée. </w:t>
      </w:r>
    </w:p>
    <w:p w14:paraId="63C6051D" w14:textId="77777777" w:rsidR="00FA649D" w:rsidRDefault="00FA649D" w:rsidP="00FA649D">
      <w:pPr>
        <w:pStyle w:val="ArticleNiv2"/>
      </w:pPr>
      <w:r>
        <w:t>Le numérotage des postes de tir sur le terrain est réalisé en concertation avec le Chef de cantonnement.</w:t>
      </w:r>
    </w:p>
    <w:p w14:paraId="3EBF2159" w14:textId="77777777" w:rsidR="00FA649D" w:rsidRDefault="00FA649D" w:rsidP="00FA649D">
      <w:pPr>
        <w:pStyle w:val="ArticleNiv2"/>
      </w:pPr>
      <w:r>
        <w:t>Lors d’une battue au grand gibier,</w:t>
      </w:r>
    </w:p>
    <w:p w14:paraId="456F17D1" w14:textId="77777777" w:rsidR="00FA649D" w:rsidRDefault="00FA649D" w:rsidP="00FA649D">
      <w:pPr>
        <w:pStyle w:val="ArticleNiv3"/>
      </w:pPr>
      <w:proofErr w:type="gramStart"/>
      <w:r>
        <w:t>aucun</w:t>
      </w:r>
      <w:proofErr w:type="gramEnd"/>
      <w:r>
        <w:t xml:space="preserve"> chasseur ne peut se placer en dehors des postes et lignes de tir dont question ci-avant ;</w:t>
      </w:r>
    </w:p>
    <w:p w14:paraId="51F18783" w14:textId="77777777" w:rsidR="00FA649D" w:rsidRDefault="00FA649D" w:rsidP="00FA649D">
      <w:pPr>
        <w:pStyle w:val="ArticleNiv3"/>
      </w:pPr>
      <w:proofErr w:type="gramStart"/>
      <w:r>
        <w:t>une</w:t>
      </w:r>
      <w:proofErr w:type="gramEnd"/>
      <w:r>
        <w:t xml:space="preserve"> distance de 60 mètres minimum doit séparer deux postes de tir voisin le long de la ligne de postes.</w:t>
      </w:r>
    </w:p>
    <w:p w14:paraId="39E89D95" w14:textId="77777777" w:rsidR="00FA649D" w:rsidRDefault="00FA649D" w:rsidP="00FA649D">
      <w:r>
        <w:t>Tout changement apporté dans la disposition des enceintes, lignes et postes doit être reporté sur une nouvelle carte de l’Institut Géographique National et transmise au Chef de Cantonnement au moins 8 jours avant la date de la battue suivante.</w:t>
      </w:r>
    </w:p>
    <w:p w14:paraId="2BF233AC" w14:textId="77777777" w:rsidR="00FA649D" w:rsidRDefault="00FA649D" w:rsidP="00FA649D">
      <w:pPr>
        <w:pStyle w:val="Article"/>
      </w:pPr>
      <w:r>
        <w:t>Programmation des journées de chasse.</w:t>
      </w:r>
    </w:p>
    <w:p w14:paraId="05B51F76" w14:textId="77777777" w:rsidR="00FA649D" w:rsidRDefault="00FA649D" w:rsidP="00FA649D">
      <w:pPr>
        <w:pStyle w:val="ArticleNiv2"/>
      </w:pPr>
      <w:r>
        <w:t>Le nombre maximum de jours de chasse en battue, à la botte, au chien courant, sous terre ou de furetage est fixé, le cas échéant, dans les clauses particulières reprises à l’annex</w:t>
      </w:r>
      <w:bookmarkStart w:id="5" w:name="_Hlt100398562"/>
      <w:r>
        <w:t>e</w:t>
      </w:r>
      <w:bookmarkEnd w:id="5"/>
      <w:r>
        <w:t xml:space="preserve"> I. Toute journée commencée est comptabilisée pour une journée entière.</w:t>
      </w:r>
    </w:p>
    <w:p w14:paraId="10849A68" w14:textId="77777777" w:rsidR="00FA649D" w:rsidRDefault="00FA649D" w:rsidP="00FA649D">
      <w:pPr>
        <w:pStyle w:val="ArticleNiv2"/>
      </w:pPr>
      <w:r>
        <w:t>Pour le 1</w:t>
      </w:r>
      <w:r>
        <w:rPr>
          <w:vertAlign w:val="superscript"/>
        </w:rPr>
        <w:t>er</w:t>
      </w:r>
      <w:r>
        <w:t xml:space="preserve"> juin de chaque année au plus tard, le locataire communique au Chef de Cantonnement et au Collège communal les dates des jours de chasse visés par le présent article ainsi que les lieux et les heures des rendez-vous.</w:t>
      </w:r>
    </w:p>
    <w:p w14:paraId="4A244586" w14:textId="77777777" w:rsidR="00FA649D" w:rsidRDefault="00FA649D" w:rsidP="00FA649D">
      <w:pPr>
        <w:pStyle w:val="ArticleNiv2"/>
      </w:pPr>
      <w:r>
        <w:t>Si des dégâts sont observés dans les surfaces agricoles voisines ou si des circonstances particulières n’ont pas permis au locataire de réaliser toutes les journées de chasse initialement programmées, le locataire peut demander au Directeur de Centre, au moins 10 jours à l’avance, l’autorisation de mener des journées de chasse supplémentaires.</w:t>
      </w:r>
    </w:p>
    <w:p w14:paraId="6C8BF2EE" w14:textId="77777777" w:rsidR="00FA649D" w:rsidRDefault="00FA649D" w:rsidP="00FA649D">
      <w:pPr>
        <w:pStyle w:val="ArticleNiv2"/>
      </w:pPr>
      <w:r>
        <w:t>Le Directeur de Centre juge de l’opportunité d’accorder cette autorisation et en fixe, le cas échéant, les conditions.</w:t>
      </w:r>
    </w:p>
    <w:p w14:paraId="4FF378B7" w14:textId="77777777" w:rsidR="00FA649D" w:rsidRDefault="00FA649D" w:rsidP="00FA649D">
      <w:pPr>
        <w:pStyle w:val="Article"/>
      </w:pPr>
      <w:r>
        <w:t>Régulation du tir.</w:t>
      </w:r>
    </w:p>
    <w:p w14:paraId="4A6ADFD1" w14:textId="77777777" w:rsidR="00FA649D" w:rsidRDefault="00FA649D" w:rsidP="00FA649D">
      <w:pPr>
        <w:pStyle w:val="ArticleNiv2"/>
      </w:pPr>
      <w:r>
        <w:t>Pour toute espèce gibier autre que celle(s) faisant déjà l’objet d’un Plan de tir réglementaire, le Directeur de Centre peut fixer chaque année le nombre minimum et/ou maximum d'animaux que le locataire devra et/ou pourra tirer dans le lot adjugé au cours de la saison de chasse à venir. Le cas échéant, le Directeur de Centre peut, pour une même espèce, faire une distinction par sexe et/ou catégorie dans les impositions de tir.</w:t>
      </w:r>
    </w:p>
    <w:p w14:paraId="01193EE1" w14:textId="77777777" w:rsidR="00FA649D" w:rsidRDefault="00FA649D" w:rsidP="00FA649D">
      <w:pPr>
        <w:pStyle w:val="ArticleNiv2"/>
      </w:pPr>
      <w:r>
        <w:t>Le Directeur de Centre est tenu d’informer le locataire des impositions visées à l’alinéa 1</w:t>
      </w:r>
      <w:r>
        <w:rPr>
          <w:vertAlign w:val="superscript"/>
        </w:rPr>
        <w:t>er</w:t>
      </w:r>
      <w:r>
        <w:t>, avant le début de la saison cynégétique concernée (1</w:t>
      </w:r>
      <w:r>
        <w:rPr>
          <w:vertAlign w:val="superscript"/>
        </w:rPr>
        <w:t>er</w:t>
      </w:r>
      <w:r>
        <w:t xml:space="preserve"> juillet) et de fixer toutes les conditions qu’il estime nécessaires aux fins </w:t>
      </w:r>
      <w:r>
        <w:lastRenderedPageBreak/>
        <w:t>de contrôler le respect par le locataire de ces impositions. A défaut de respecter cette échéance, le locataire n’est pas tenu par ces impositions de tir.</w:t>
      </w:r>
    </w:p>
    <w:p w14:paraId="408DEB12" w14:textId="77777777" w:rsidR="00FA649D" w:rsidRDefault="00FA649D" w:rsidP="00FA649D">
      <w:pPr>
        <w:pStyle w:val="ArticleNiv2"/>
      </w:pPr>
      <w:proofErr w:type="gramStart"/>
      <w:r>
        <w:t>Les maxima fixés</w:t>
      </w:r>
      <w:proofErr w:type="gramEnd"/>
      <w:r>
        <w:t xml:space="preserve"> en application de l’alinéa 1</w:t>
      </w:r>
      <w:r>
        <w:rPr>
          <w:vertAlign w:val="superscript"/>
        </w:rPr>
        <w:t>er</w:t>
      </w:r>
      <w:r>
        <w:t xml:space="preserve"> pourront être majorés du nombre de bêtes blessées ou malades dont l’abattage aura eu lieu avec l’accord préalable du Chef de Cantonnement. Les minima fixés en application de l’alinéa 1</w:t>
      </w:r>
      <w:r>
        <w:rPr>
          <w:vertAlign w:val="superscript"/>
        </w:rPr>
        <w:t>er</w:t>
      </w:r>
      <w:r>
        <w:t xml:space="preserve"> pourront être réduits du nombre de bêtes retrouvées mortes au cours de la saison de chasse par suite de maladies, d’actes de braconnage ou d’accidents de la circulation.</w:t>
      </w:r>
    </w:p>
    <w:p w14:paraId="1F7FE743" w14:textId="77777777" w:rsidR="00FA649D" w:rsidRDefault="00FA649D" w:rsidP="00FA649D">
      <w:pPr>
        <w:pStyle w:val="ArticleNiv2"/>
      </w:pPr>
      <w:r>
        <w:t xml:space="preserve">Pour les espèces gibiers faisant l'objet d'un Plan de tir réglementaire, le Directeur de Centre se réserve le droit de réclamer au locataire des indemnités en cas de non-respect par celui-ci des minima et maxima qui lui ont été imposés soit directement au niveau de la décision de Plan de tir soit indirectement au niveau de la ventilation des impositions du plan de tir entre les différents territoires du conseil cynégétique, ventilation déterminée par ce dernier. </w:t>
      </w:r>
    </w:p>
    <w:p w14:paraId="08D7AC7E" w14:textId="77777777" w:rsidR="00FA649D" w:rsidRPr="00AB48D4" w:rsidRDefault="00FA649D" w:rsidP="00FA649D">
      <w:pPr>
        <w:pStyle w:val="ArticleNiv2"/>
      </w:pPr>
      <w:r w:rsidRPr="00AB48D4">
        <w:rPr>
          <w:lang w:val="fr-BE"/>
        </w:rPr>
        <w:t>Le locataire s’engage à informer le bailleur et le chef de cantonnement des actions menées en matière de régulation du grand gibier. À ce titre, il leur communique dans les quinze jours du terme de chaque saison de chasse une liste des résultats des actions de chasse. Cette liste reprend le nombre d’animaux prélevés dans le lot en distinguant le mode de chasse et le cas échéant certaines catégories.</w:t>
      </w:r>
    </w:p>
    <w:p w14:paraId="55010542" w14:textId="77777777" w:rsidR="00FA649D" w:rsidRDefault="00FA649D" w:rsidP="00FA649D">
      <w:pPr>
        <w:pStyle w:val="ArticleNiv2"/>
        <w:rPr>
          <w:lang w:val="fr-BE"/>
        </w:rPr>
      </w:pPr>
      <w:r w:rsidRPr="00484927">
        <w:rPr>
          <w:lang w:val="fr-BE"/>
        </w:rPr>
        <w:t>En cas de déséquilibre forêt-gibier et d’impacts négatifs jugés inacceptables, le bailleur accompagné du DNF et du locataire s'accordent sur une stratégie globale de retour à l'équilibre</w:t>
      </w:r>
      <w:r>
        <w:rPr>
          <w:lang w:val="fr-BE"/>
        </w:rPr>
        <w:t xml:space="preserve"> (</w:t>
      </w:r>
      <w:proofErr w:type="spellStart"/>
      <w:r>
        <w:rPr>
          <w:lang w:val="fr-BE"/>
        </w:rPr>
        <w:t>cfr</w:t>
      </w:r>
      <w:proofErr w:type="spellEnd"/>
      <w:r>
        <w:rPr>
          <w:lang w:val="fr-BE"/>
        </w:rPr>
        <w:t xml:space="preserve"> point 7)</w:t>
      </w:r>
      <w:r w:rsidRPr="00484927">
        <w:rPr>
          <w:lang w:val="fr-BE"/>
        </w:rPr>
        <w:t>. En cas d'impossibilité constatée de s'accorder avec le locataire sur la stratégie globale de retour à l'équilibre forêt-gibier dans un délai raisonnable ou en cas de non-respect répété des mesures prises pour réguler les populations de gibier, le bailleur peut décider de mettre en demeure le locataire pour qu'il agisse prestement. A l’échéance d’un délai de minimum un mois prenant cours le lendemain de cette mise en demeure, le bailleur se réserve le droit d'agir directement ou de mandater un tiers pour prendre les mesures nécessaires à la régulation.</w:t>
      </w:r>
    </w:p>
    <w:p w14:paraId="2333AA9E" w14:textId="77777777" w:rsidR="00FA649D" w:rsidRPr="000E7EA4" w:rsidRDefault="00FA649D" w:rsidP="00FA649D">
      <w:pPr>
        <w:pStyle w:val="ArticleNiv2"/>
        <w:rPr>
          <w:lang w:val="fr-BE"/>
        </w:rPr>
      </w:pPr>
      <w:r w:rsidRPr="00484927">
        <w:rPr>
          <w:lang w:val="fr-BE"/>
        </w:rPr>
        <w:t>Le déséquilibre entre la densité de gibier et la forêt peut atteindre un niveau tel qu’il porte préjudice à la forêt et à la biodiversité. En cas de déséquilibre forêt-gibier constaté et d’impacts négatifs jugés inacceptables par le bailleur, une stratégie globale de gestion du gibier doit être définie. Élaborée en concertation entre le bailleur, le locataire et le DNF, cette stratégie vise à rétablir l’équilibre forêt-gibier au moyen d’un panel de mesures adaptées aux spécificités du territoire. Cette stratégie permettra d’activer certaines mesures reprises dans le présent bail ainsi que d’autres mesures de gestion adaptées à la situation de terrain validées par les différents intervenants (bailleur, DNF et locataire du droit de chasse).</w:t>
      </w:r>
    </w:p>
    <w:p w14:paraId="1025299F" w14:textId="77777777" w:rsidR="00FA649D" w:rsidRDefault="00FA649D" w:rsidP="00FA649D">
      <w:pPr>
        <w:pStyle w:val="Article"/>
      </w:pPr>
      <w:r>
        <w:t>Recensement du gibier.</w:t>
      </w:r>
    </w:p>
    <w:p w14:paraId="7CBA7167" w14:textId="77777777" w:rsidR="00FA649D" w:rsidRDefault="00FA649D" w:rsidP="00FA649D">
      <w:pPr>
        <w:pStyle w:val="ArticleNiv2"/>
      </w:pPr>
      <w:r>
        <w:t>Le Chef de Cantonnement peut organiser sur le lot adjugé tous les recensements de gibier qu'il juge nécessaires.</w:t>
      </w:r>
    </w:p>
    <w:p w14:paraId="179D88E9" w14:textId="77777777" w:rsidR="00FA649D" w:rsidRPr="00975017" w:rsidRDefault="00FA649D" w:rsidP="00FA649D">
      <w:pPr>
        <w:pStyle w:val="ArticleNiv2"/>
      </w:pPr>
      <w:r>
        <w:t>Si le Chef de Cantonnement lui en fait la demande, le locataire s’engage à collaborer avec ses associés et ses gardes-chasse, aux opérations de recensements sur le lot adjugé.</w:t>
      </w:r>
    </w:p>
    <w:p w14:paraId="119A1C4D" w14:textId="77777777" w:rsidR="00FA649D" w:rsidRDefault="00FA649D" w:rsidP="00FA649D">
      <w:pPr>
        <w:pStyle w:val="Article"/>
      </w:pPr>
      <w:r>
        <w:t>Études et Inventaires du gibier tiré.</w:t>
      </w:r>
    </w:p>
    <w:p w14:paraId="603C7EA7" w14:textId="77777777" w:rsidR="00FA649D" w:rsidRDefault="00FA649D" w:rsidP="00FA649D">
      <w:pPr>
        <w:pStyle w:val="ArticleNiv2"/>
      </w:pPr>
      <w:r>
        <w:t>Si le Chef de Cantonnement lui en fait la demande, le locataire est tenu de mettre à sa disposition, à des fins d'étude ou de démonstration, les trophées et les mâchoires du grand gibier tiré dans le lot durant l'année cynégétique en cours, ainsi que les mues éventuellement ramassées durant le même temps. Les trophées et les mues ne peuvent être demandés qu'une seule fois et pour une durée maximum de 30 jours. Le Chef de Cantonnement peut également demander au locataire de lui fournir toute autre donnée concernant le gibier tiré, telle que le poids des animaux abattus.</w:t>
      </w:r>
    </w:p>
    <w:p w14:paraId="0BD3ADDA" w14:textId="77777777" w:rsidR="00FA649D" w:rsidRDefault="00FA649D" w:rsidP="00FA649D">
      <w:pPr>
        <w:pStyle w:val="ArticleNiv2"/>
      </w:pPr>
      <w:r>
        <w:t>Le locataire communique au Chef de Cantonnement, pour le 1</w:t>
      </w:r>
      <w:r>
        <w:rPr>
          <w:vertAlign w:val="superscript"/>
        </w:rPr>
        <w:t>er</w:t>
      </w:r>
      <w:r>
        <w:t xml:space="preserve"> avril de chaque année, le tableau de chasse réalisé au cours des 12 mois précédents pour chaque espèce de gibier, en distinguant le cas échéant certaines catégories.  Le chef de cantonnement communique ces données, pour information, au Collège communal.</w:t>
      </w:r>
    </w:p>
    <w:p w14:paraId="52C14E39" w14:textId="4C62508F" w:rsidR="00FA649D" w:rsidRDefault="00FA649D" w:rsidP="00FA649D">
      <w:pPr>
        <w:pStyle w:val="ArticleNiv2"/>
      </w:pPr>
      <w:r>
        <w:t xml:space="preserve">Dans le cadre d’études (à des fins sanitaires par exemple) ou d’inventaires du gibier tiré, le Chef de cantonnement peut demander à l'adjudicataire une collaboration à toute action relative à la faune gibier entreprise à l'initiative de la Division de la Nature et des </w:t>
      </w:r>
      <w:r w:rsidR="00D91BB7">
        <w:t>Forêts</w:t>
      </w:r>
      <w:r>
        <w:t xml:space="preserve"> ou du Centre de Recherche de la Nature, des Forêts et du Bois.</w:t>
      </w:r>
    </w:p>
    <w:p w14:paraId="1A343F9C" w14:textId="77777777" w:rsidR="00D91BB7" w:rsidRDefault="00D91BB7" w:rsidP="00D91BB7"/>
    <w:p w14:paraId="7A8E48E0" w14:textId="77777777" w:rsidR="00D91BB7" w:rsidRDefault="00D91BB7" w:rsidP="00D91BB7"/>
    <w:p w14:paraId="61BA1134" w14:textId="77777777" w:rsidR="00D91BB7" w:rsidRPr="00D91BB7" w:rsidRDefault="00D91BB7" w:rsidP="00D91BB7"/>
    <w:p w14:paraId="5CE2CC3A" w14:textId="77777777" w:rsidR="00FA649D" w:rsidRDefault="00FA649D" w:rsidP="00FA649D">
      <w:pPr>
        <w:pStyle w:val="Chapitre"/>
      </w:pPr>
      <w:r>
        <w:lastRenderedPageBreak/>
        <w:t>Dispositions de coordination</w:t>
      </w:r>
    </w:p>
    <w:p w14:paraId="03C1C004" w14:textId="77777777" w:rsidR="00FA649D" w:rsidRDefault="00FA649D" w:rsidP="00FA649D">
      <w:pPr>
        <w:pStyle w:val="Article"/>
      </w:pPr>
      <w:r>
        <w:t>Droit de chasse et fonctions multiples de la forêt.</w:t>
      </w:r>
    </w:p>
    <w:p w14:paraId="3AEFFEFE" w14:textId="77777777" w:rsidR="00FA649D" w:rsidRDefault="00FA649D" w:rsidP="00FA649D">
      <w:pPr>
        <w:pStyle w:val="ArticleNiv2"/>
      </w:pPr>
      <w:r>
        <w:t>D'une manière générale, l'exercice du droit de chasse doit tenir compte des multiples fonctions remplies par la forêt et s'accommoder de toute activité autorisée dans le lot par le bailleur ou supportée par lui (exercices militaires, travaux de topographie, …).</w:t>
      </w:r>
    </w:p>
    <w:p w14:paraId="24163030" w14:textId="77777777" w:rsidR="00FA649D" w:rsidRDefault="00FA649D" w:rsidP="00FA649D">
      <w:pPr>
        <w:pStyle w:val="ArticleNiv2"/>
      </w:pPr>
      <w:r>
        <w:t>Sous réserve des dispositions légales, le bailleur conserve en particulier le droit d’autoriser en tout temps et sur toute l'étendue du lot toute activité à but scientifique, social, sportif ou culturel. Il tiendra toutefois compte autant que possible des dates des actions de chasse.</w:t>
      </w:r>
    </w:p>
    <w:p w14:paraId="02437A15" w14:textId="77777777" w:rsidR="00FA649D" w:rsidRDefault="00FA649D" w:rsidP="00FA649D">
      <w:pPr>
        <w:pStyle w:val="ArticleNiv2"/>
      </w:pPr>
      <w:r>
        <w:t>Sans préjudice des dates d’ouverture et de fermeture de la chasse, l’exercice de la chasse est autorisé tous les jours de l’année. Pour des raisons de sécurité, les clauses particulières reprises en an</w:t>
      </w:r>
      <w:bookmarkStart w:id="6" w:name="_Hlt100398345"/>
      <w:r>
        <w:t>n</w:t>
      </w:r>
      <w:bookmarkEnd w:id="6"/>
      <w:r>
        <w:t>exe I peuvent toutefois le limiter dans le temps.</w:t>
      </w:r>
    </w:p>
    <w:p w14:paraId="71AF2688" w14:textId="77777777" w:rsidR="00FA649D" w:rsidRPr="00112B5A" w:rsidRDefault="00FA649D" w:rsidP="00FA649D">
      <w:r w:rsidRPr="00112B5A">
        <w:t>4</w:t>
      </w:r>
      <w:r w:rsidRPr="000E7EA4">
        <w:t>.</w:t>
      </w:r>
      <w:r w:rsidRPr="00112B5A">
        <w:t xml:space="preserve"> </w:t>
      </w:r>
      <w:r w:rsidRPr="000E7EA4">
        <w:t xml:space="preserve">     </w:t>
      </w:r>
      <w:r w:rsidRPr="00112B5A">
        <w:t xml:space="preserve">L’intégralité de la signalétique en milieu forestier doit être respectée et préservée dans son état d’origine. Il </w:t>
      </w:r>
      <w:r w:rsidRPr="000E7EA4">
        <w:t xml:space="preserve">  </w:t>
      </w:r>
      <w:r w:rsidRPr="00112B5A">
        <w:t xml:space="preserve">est formellement interdit d’utiliser celle-ci comme support pour tout affichage ou marquage. </w:t>
      </w:r>
    </w:p>
    <w:p w14:paraId="1E8E58FC" w14:textId="77777777" w:rsidR="00295A36" w:rsidRDefault="00FA649D" w:rsidP="00295A36">
      <w:pPr>
        <w:pStyle w:val="Article"/>
      </w:pPr>
      <w:r>
        <w:t>Droit de chasse et gestion des peuplements forestiers</w:t>
      </w:r>
    </w:p>
    <w:p w14:paraId="548E2FBF" w14:textId="6703F9AD" w:rsidR="00FA649D" w:rsidRPr="00295A36" w:rsidRDefault="00FA649D" w:rsidP="00295A36">
      <w:pPr>
        <w:pStyle w:val="Article"/>
        <w:numPr>
          <w:ilvl w:val="0"/>
          <w:numId w:val="0"/>
        </w:numPr>
      </w:pPr>
      <w:r w:rsidRPr="00295A36">
        <w:rPr>
          <w:b w:val="0"/>
        </w:rPr>
        <w:t>Les opérations et les travaux de toutes natures requis par l'installation, la conduite, la protection et l'exploitation des peuplements du massif forestier dont fait partie le lot adjugé s'effectueront sans que le locataire puisse s'y opposer ou réclamer une indemnité quelconque, une modification des clauses du cahier des charges, en particulier une réduction du loyer ou une résiliation du bail.</w:t>
      </w:r>
    </w:p>
    <w:p w14:paraId="6DCA870E" w14:textId="77777777" w:rsidR="00FA649D" w:rsidRPr="00112B5A" w:rsidRDefault="00FA649D" w:rsidP="00FA649D">
      <w:pPr>
        <w:pStyle w:val="Article"/>
      </w:pPr>
      <w:r>
        <w:t>Droit de chasse et récréation en forêt.</w:t>
      </w:r>
    </w:p>
    <w:p w14:paraId="0DAC07AB" w14:textId="77777777" w:rsidR="00FA649D" w:rsidRDefault="00FA649D" w:rsidP="00FA649D">
      <w:pPr>
        <w:pStyle w:val="ArticleNiv2"/>
      </w:pPr>
      <w:r>
        <w:t>La localisation et la superficie des aires de repos ou de délassement et des zones d’accès libre concédées aux mouvements de jeunesse dans le lot adjugé sont renseignées à l’ann</w:t>
      </w:r>
      <w:bookmarkStart w:id="7" w:name="_Hlt110229006"/>
      <w:bookmarkEnd w:id="7"/>
      <w:r>
        <w:t>exe II. Sauf dérogation accordée par le Collège communal, le Directeur de Centre entendu, toute chasse est interdite :</w:t>
      </w:r>
    </w:p>
    <w:p w14:paraId="1BAEEE09" w14:textId="77777777" w:rsidR="00FA649D" w:rsidRDefault="00FA649D" w:rsidP="00FA649D">
      <w:pPr>
        <w:pStyle w:val="ArticleNiv3"/>
      </w:pPr>
      <w:proofErr w:type="gramStart"/>
      <w:r>
        <w:t>toute</w:t>
      </w:r>
      <w:proofErr w:type="gramEnd"/>
      <w:r>
        <w:t xml:space="preserve"> l’année dans les aires de repos ou de délassement ;</w:t>
      </w:r>
    </w:p>
    <w:p w14:paraId="20EE8A9D" w14:textId="77777777" w:rsidR="00FA649D" w:rsidRDefault="00FA649D" w:rsidP="00FA649D">
      <w:pPr>
        <w:pStyle w:val="ArticleNiv3"/>
      </w:pPr>
      <w:proofErr w:type="gramStart"/>
      <w:r>
        <w:t>du</w:t>
      </w:r>
      <w:proofErr w:type="gramEnd"/>
      <w:r>
        <w:t xml:space="preserve"> 15 juin au 31 août dans les zones d’accès libre concédées aux mouvements de jeunesse.</w:t>
      </w:r>
    </w:p>
    <w:p w14:paraId="7A487D7A" w14:textId="77777777" w:rsidR="00FA649D" w:rsidRDefault="00FA649D" w:rsidP="00FA649D">
      <w:pPr>
        <w:pStyle w:val="ArticleNiv2"/>
      </w:pPr>
      <w:r>
        <w:t>Avant le 1</w:t>
      </w:r>
      <w:r>
        <w:rPr>
          <w:vertAlign w:val="superscript"/>
        </w:rPr>
        <w:t>er</w:t>
      </w:r>
      <w:r>
        <w:t xml:space="preserve"> juillet de chaque année, le Collège communal informe le locataire des nouvelles aires de repos et de délassement qui seront équipées au cours de l'année cynégétique et renseigne leur superficie. A la demande du locataire, le loyer pourra être réduit au prorata de ces nouvelles superficies soustraites à l'action de chasse.</w:t>
      </w:r>
    </w:p>
    <w:p w14:paraId="4A02A65C" w14:textId="77777777" w:rsidR="00FA649D" w:rsidRDefault="00FA649D" w:rsidP="00FA649D">
      <w:pPr>
        <w:pStyle w:val="ArticleNiv2"/>
      </w:pPr>
      <w:r>
        <w:t>Avant le 1</w:t>
      </w:r>
      <w:r>
        <w:rPr>
          <w:vertAlign w:val="superscript"/>
        </w:rPr>
        <w:t>er</w:t>
      </w:r>
      <w:r>
        <w:t xml:space="preserve"> juillet de chaque année, le Collège communal informe le locataire de tout changement quant à la localisation des zones d’accès libre concédées aux mouvements de jeunesse.</w:t>
      </w:r>
    </w:p>
    <w:p w14:paraId="62B4E6C5" w14:textId="77777777" w:rsidR="00FA649D" w:rsidRDefault="00FA649D" w:rsidP="00FA649D">
      <w:pPr>
        <w:pStyle w:val="Article"/>
      </w:pPr>
      <w:r>
        <w:t>Droit de chasse et circulation en forêt.</w:t>
      </w:r>
    </w:p>
    <w:p w14:paraId="5105FB1E" w14:textId="77777777" w:rsidR="00FA649D" w:rsidRDefault="00FA649D" w:rsidP="00FA649D">
      <w:pPr>
        <w:pStyle w:val="ArticleNiv2"/>
      </w:pPr>
      <w:r>
        <w:t>Pour des raisons de sécurité, le locataire veillera à solliciter auprès du Chef de cantonnement, conformément à la loi, la fermeture des voies et chemins qui présentent un danger pour la circulation lors des journées de battue organisées dans le lot. Il introduira sa demande au moins 40 jours avant la date de la journée de battue.</w:t>
      </w:r>
    </w:p>
    <w:p w14:paraId="6D7F88C9" w14:textId="77777777" w:rsidR="00FA649D" w:rsidRDefault="00FA649D" w:rsidP="00FA649D">
      <w:pPr>
        <w:pStyle w:val="ArticleNiv2"/>
      </w:pPr>
      <w:r>
        <w:t>En dehors de ces périodes d’interdiction ou de limitation de la circulation accordées au locataire, l’exercice du droit de chasse ne peut entraîner aucune restriction à la circulation des piétons, des cyclistes, des skieurs, des cavaliers et des véhicules respectant le code forestier.</w:t>
      </w:r>
    </w:p>
    <w:p w14:paraId="06A9ED22" w14:textId="11CB450C" w:rsidR="00FA649D" w:rsidRDefault="00FA649D" w:rsidP="00FA649D">
      <w:pPr>
        <w:pStyle w:val="ArticleNiv2"/>
      </w:pPr>
      <w:r>
        <w:t>La circulation du locataire, de ses associés et de ses invités à bord de véhicules à moteur est interdite en dehors des voiries hydrocarbonées ou empierrées, sauf lorsque cette circulation a pour objet le chargement de gibier abattu, l’entretien des infrastructures cynégétiques ou le postage des chasseurs lors de jours de battue ou de traque-affû</w:t>
      </w:r>
      <w:r w:rsidR="00F11449">
        <w:t>t.</w:t>
      </w:r>
    </w:p>
    <w:p w14:paraId="192ED369" w14:textId="77777777" w:rsidR="00FA649D" w:rsidRDefault="00FA649D" w:rsidP="00FA649D"/>
    <w:p w14:paraId="1AF7E8E0" w14:textId="77777777" w:rsidR="00F11449" w:rsidRDefault="00F11449" w:rsidP="00FA649D"/>
    <w:p w14:paraId="27B30E52" w14:textId="77777777" w:rsidR="00F11449" w:rsidRDefault="00F11449" w:rsidP="00FA649D"/>
    <w:p w14:paraId="7B5C5E91" w14:textId="77777777" w:rsidR="00F11449" w:rsidRDefault="00F11449" w:rsidP="00FA649D"/>
    <w:p w14:paraId="4A0F6F0B" w14:textId="77777777" w:rsidR="00F11449" w:rsidRPr="005C6506" w:rsidRDefault="00F11449" w:rsidP="00FA649D"/>
    <w:p w14:paraId="34712FA6" w14:textId="77777777" w:rsidR="00FA649D" w:rsidRDefault="00FA649D" w:rsidP="00FA649D">
      <w:pPr>
        <w:pStyle w:val="Chapitre"/>
      </w:pPr>
      <w:r>
        <w:lastRenderedPageBreak/>
        <w:t>Disposition en matière d'environnement</w:t>
      </w:r>
    </w:p>
    <w:p w14:paraId="753DB83C" w14:textId="77777777" w:rsidR="00FA649D" w:rsidRDefault="00FA649D" w:rsidP="00FA649D">
      <w:pPr>
        <w:pStyle w:val="Article"/>
      </w:pPr>
      <w:r>
        <w:t>Respect de l'environnement.</w:t>
      </w:r>
    </w:p>
    <w:p w14:paraId="5BD1DA32" w14:textId="77777777" w:rsidR="00FA649D" w:rsidRDefault="00FA649D" w:rsidP="00FA649D">
      <w:pPr>
        <w:pStyle w:val="ArticleNiv2"/>
      </w:pPr>
      <w:r>
        <w:t>Tout équipement cynégétique dénotant de façon manifeste dans le paysage, abandonné, en ruines ou risquant de s'écrouler, sera évacué du lot de chasse par le locataire, ou à défaut, à ses frais.</w:t>
      </w:r>
    </w:p>
    <w:p w14:paraId="1CAC8882" w14:textId="77777777" w:rsidR="00FA649D" w:rsidRDefault="00FA649D" w:rsidP="00FA649D">
      <w:pPr>
        <w:pStyle w:val="ArticleNiv2"/>
      </w:pPr>
      <w:r>
        <w:t>Il en est de même des sacs en plastique ayant contenu des aliments, des engrais ou autres produits ainsi que des douilles et autres objets résultant de l’activité du locataire, de nature à nuire à la propreté du lot.</w:t>
      </w:r>
    </w:p>
    <w:p w14:paraId="21FD9CA0" w14:textId="77777777" w:rsidR="00FA649D" w:rsidRDefault="00FA649D" w:rsidP="00FA649D">
      <w:pPr>
        <w:pStyle w:val="ArticleNiv2"/>
      </w:pPr>
      <w:r>
        <w:t>Toute coupe de bois, élagage ou dégagement en vue de la création, l’amélioration ou l’entretien des lignes de tir est interdite sans l’autorisation préalable du Collège communal.</w:t>
      </w:r>
    </w:p>
    <w:p w14:paraId="73C93CFD" w14:textId="77777777" w:rsidR="00F11449" w:rsidRPr="00F11449" w:rsidRDefault="00F11449" w:rsidP="00F11449"/>
    <w:p w14:paraId="196E5ED9" w14:textId="77777777" w:rsidR="00FA649D" w:rsidRDefault="00FA649D" w:rsidP="00FA649D">
      <w:pPr>
        <w:pStyle w:val="Chapitre"/>
      </w:pPr>
      <w:r>
        <w:t>Dispositions en matière de délégation et d’appel</w:t>
      </w:r>
    </w:p>
    <w:p w14:paraId="3A397191" w14:textId="77777777" w:rsidR="00FA649D" w:rsidRDefault="00FA649D" w:rsidP="00FA649D">
      <w:pPr>
        <w:pStyle w:val="Article"/>
      </w:pPr>
      <w:r>
        <w:t>Délégation.</w:t>
      </w:r>
    </w:p>
    <w:p w14:paraId="48C68D22" w14:textId="77777777" w:rsidR="00FA649D" w:rsidRDefault="00FA649D" w:rsidP="00FA649D">
      <w:pPr>
        <w:pStyle w:val="ArticleNiv2"/>
      </w:pPr>
      <w:r>
        <w:t>Le conseil communal délègue le Collège communal qui agira en son nom lors de l'application des clauses du présent cahier des charges. Il en informe par écrit le locataire.</w:t>
      </w:r>
    </w:p>
    <w:p w14:paraId="042139CE" w14:textId="77777777" w:rsidR="00FA649D" w:rsidRDefault="00FA649D" w:rsidP="00FA649D">
      <w:pPr>
        <w:pStyle w:val="ArticleNiv2"/>
      </w:pPr>
      <w:r>
        <w:t>Le Collège communal peut déléguer tout échevin qui agira en son nom lors de l'application des clauses du présent cahier des charges. Il en informe par écrit le locataire.</w:t>
      </w:r>
    </w:p>
    <w:p w14:paraId="09B34F42" w14:textId="77777777" w:rsidR="00FA649D" w:rsidRDefault="00FA649D" w:rsidP="00FA649D">
      <w:pPr>
        <w:pStyle w:val="ArticleNiv2"/>
      </w:pPr>
      <w:r>
        <w:t>Le Directeur de Centre peut déléguer le Chef de Cantonnement ou tout autre Agent des forêts qui agira en son nom lors de l'application des clauses du présent cahier des charges. Il en informe par écrit le locataire.</w:t>
      </w:r>
    </w:p>
    <w:p w14:paraId="3EF44C07" w14:textId="77777777" w:rsidR="00FA649D" w:rsidRDefault="00FA649D" w:rsidP="00FA649D">
      <w:pPr>
        <w:pStyle w:val="ArticleNiv2"/>
      </w:pPr>
      <w:r>
        <w:t>Le Chef de Cantonnement peut déléguer tout Agent des forêts qui agira en son nom lors de l'application des clauses du présent cahier des charges. Il en informe par écrit le locataire.</w:t>
      </w:r>
    </w:p>
    <w:p w14:paraId="3D157319" w14:textId="77777777" w:rsidR="00FA649D" w:rsidRDefault="00FA649D" w:rsidP="00FA649D">
      <w:pPr>
        <w:pStyle w:val="ArticleNiv2"/>
      </w:pPr>
      <w:r>
        <w:t>Le locataire peut déléguer toute personne majeure, associée ou non, qui le représentera valablement lors de l'application des clauses du présent cahier des charges. La délégation se fait par écrit et copie est adressée au Directeur de Centre et au Collège communal.</w:t>
      </w:r>
    </w:p>
    <w:p w14:paraId="7AED55A7" w14:textId="77777777" w:rsidR="00FA649D" w:rsidRDefault="00FA649D" w:rsidP="00FA649D">
      <w:pPr>
        <w:pStyle w:val="Article"/>
      </w:pPr>
      <w:r>
        <w:t>Appel.</w:t>
      </w:r>
    </w:p>
    <w:p w14:paraId="7DFBE41F" w14:textId="77777777" w:rsidR="00FA649D" w:rsidRDefault="00FA649D" w:rsidP="00FA649D">
      <w:r>
        <w:t>Le locataire peut faire appel auprès du Directeur de Centre de toute décision du Chef de Cantonnement ou d’un Agent des forêts, auprès du Collège communal de toute décision du Directeur de Centre et auprès du Conseil communal de toute décision du Collège communal.</w:t>
      </w:r>
    </w:p>
    <w:p w14:paraId="436B6E3A" w14:textId="77777777" w:rsidR="00FA649D" w:rsidRDefault="00FA649D" w:rsidP="00FA649D">
      <w:pPr>
        <w:jc w:val="center"/>
      </w:pPr>
    </w:p>
    <w:p w14:paraId="180DA52D" w14:textId="0B45786F" w:rsidR="00FA649D" w:rsidRDefault="00FA649D" w:rsidP="00F11449">
      <w:pPr>
        <w:jc w:val="center"/>
      </w:pPr>
      <w:r>
        <w:t>* * *</w:t>
      </w:r>
    </w:p>
    <w:p w14:paraId="7BBCB5D2" w14:textId="77777777" w:rsidR="00F11449" w:rsidRDefault="00F11449" w:rsidP="00F11449">
      <w:pPr>
        <w:jc w:val="center"/>
      </w:pPr>
    </w:p>
    <w:p w14:paraId="17726492" w14:textId="77777777" w:rsidR="00F11449" w:rsidRDefault="00F11449" w:rsidP="00F11449">
      <w:pPr>
        <w:jc w:val="center"/>
      </w:pPr>
    </w:p>
    <w:p w14:paraId="1201F97B" w14:textId="77777777" w:rsidR="00F11449" w:rsidRDefault="00F11449" w:rsidP="00F11449">
      <w:pPr>
        <w:jc w:val="center"/>
      </w:pPr>
    </w:p>
    <w:p w14:paraId="7514A2F3" w14:textId="77777777" w:rsidR="00F11449" w:rsidRDefault="00F11449" w:rsidP="00F11449">
      <w:pPr>
        <w:jc w:val="center"/>
      </w:pPr>
    </w:p>
    <w:p w14:paraId="57C17E42" w14:textId="77777777" w:rsidR="00F11449" w:rsidRDefault="00F11449" w:rsidP="00F11449">
      <w:pPr>
        <w:jc w:val="center"/>
      </w:pPr>
    </w:p>
    <w:p w14:paraId="175A447C" w14:textId="77777777" w:rsidR="00F11449" w:rsidRDefault="00F11449" w:rsidP="00F11449">
      <w:pPr>
        <w:jc w:val="center"/>
      </w:pPr>
    </w:p>
    <w:p w14:paraId="53D0A95B" w14:textId="77777777" w:rsidR="00F11449" w:rsidRDefault="00F11449" w:rsidP="00F11449">
      <w:pPr>
        <w:jc w:val="center"/>
      </w:pPr>
    </w:p>
    <w:p w14:paraId="54740A5D" w14:textId="77777777" w:rsidR="00F11449" w:rsidRDefault="00F11449" w:rsidP="00F11449">
      <w:pPr>
        <w:jc w:val="center"/>
      </w:pPr>
    </w:p>
    <w:p w14:paraId="60A64E9A" w14:textId="77777777" w:rsidR="00F11449" w:rsidRDefault="00F11449" w:rsidP="00F11449">
      <w:pPr>
        <w:jc w:val="center"/>
      </w:pPr>
    </w:p>
    <w:p w14:paraId="2BD6B8EF" w14:textId="77777777" w:rsidR="00F11449" w:rsidRDefault="00F11449" w:rsidP="00F11449">
      <w:pPr>
        <w:jc w:val="center"/>
      </w:pPr>
    </w:p>
    <w:p w14:paraId="6AF50E2A" w14:textId="77777777" w:rsidR="00F11449" w:rsidRDefault="00F11449" w:rsidP="00F11449">
      <w:pPr>
        <w:jc w:val="center"/>
      </w:pPr>
    </w:p>
    <w:p w14:paraId="2500E933" w14:textId="77777777" w:rsidR="00F11449" w:rsidRDefault="00F11449" w:rsidP="00F11449">
      <w:pPr>
        <w:jc w:val="center"/>
      </w:pPr>
    </w:p>
    <w:p w14:paraId="0C7B44A5" w14:textId="77777777" w:rsidR="00F11449" w:rsidRDefault="00F11449" w:rsidP="00F11449">
      <w:pPr>
        <w:jc w:val="center"/>
      </w:pPr>
    </w:p>
    <w:p w14:paraId="0EDA4351" w14:textId="77777777" w:rsidR="00F11449" w:rsidRDefault="00F11449" w:rsidP="00F11449">
      <w:pPr>
        <w:jc w:val="center"/>
      </w:pPr>
    </w:p>
    <w:p w14:paraId="6B75D81B" w14:textId="77777777" w:rsidR="00F11449" w:rsidRDefault="00F11449" w:rsidP="00F11449">
      <w:pPr>
        <w:jc w:val="center"/>
      </w:pPr>
    </w:p>
    <w:p w14:paraId="5E86775A" w14:textId="77777777" w:rsidR="00FA649D" w:rsidRDefault="00FA649D" w:rsidP="00FA649D">
      <w:pPr>
        <w:jc w:val="center"/>
      </w:pPr>
      <w:r>
        <w:lastRenderedPageBreak/>
        <w:t>Pour approbation,</w:t>
      </w:r>
    </w:p>
    <w:p w14:paraId="679DA6E3" w14:textId="77777777" w:rsidR="00FA649D" w:rsidRDefault="00FA649D" w:rsidP="00FA649D"/>
    <w:tbl>
      <w:tblPr>
        <w:tblW w:w="0" w:type="auto"/>
        <w:tblLayout w:type="fixed"/>
        <w:tblCellMar>
          <w:left w:w="70" w:type="dxa"/>
          <w:right w:w="70" w:type="dxa"/>
        </w:tblCellMar>
        <w:tblLook w:val="0000" w:firstRow="0" w:lastRow="0" w:firstColumn="0" w:lastColumn="0" w:noHBand="0" w:noVBand="0"/>
      </w:tblPr>
      <w:tblGrid>
        <w:gridCol w:w="3189"/>
        <w:gridCol w:w="1559"/>
        <w:gridCol w:w="4180"/>
      </w:tblGrid>
      <w:tr w:rsidR="00FA649D" w14:paraId="25530358" w14:textId="77777777" w:rsidTr="000E7EA4">
        <w:tc>
          <w:tcPr>
            <w:tcW w:w="3189" w:type="dxa"/>
          </w:tcPr>
          <w:p w14:paraId="26184196" w14:textId="77777777" w:rsidR="00FA649D" w:rsidRDefault="00FA649D" w:rsidP="000E7EA4">
            <w:pPr>
              <w:spacing w:after="0"/>
              <w:rPr>
                <w:b/>
              </w:rPr>
            </w:pPr>
          </w:p>
          <w:p w14:paraId="0B98D948" w14:textId="77777777" w:rsidR="00FA649D" w:rsidRDefault="00FA649D" w:rsidP="000E7EA4">
            <w:pPr>
              <w:spacing w:after="0"/>
              <w:rPr>
                <w:b/>
              </w:rPr>
            </w:pPr>
          </w:p>
          <w:p w14:paraId="01D46512" w14:textId="77777777" w:rsidR="00FA649D" w:rsidRDefault="00FA649D" w:rsidP="000E7EA4">
            <w:pPr>
              <w:spacing w:after="0"/>
              <w:rPr>
                <w:b/>
              </w:rPr>
            </w:pPr>
          </w:p>
          <w:p w14:paraId="4C3602B5" w14:textId="77777777" w:rsidR="00FA649D" w:rsidRDefault="00FA649D" w:rsidP="000E7EA4">
            <w:pPr>
              <w:spacing w:after="0"/>
              <w:rPr>
                <w:b/>
              </w:rPr>
            </w:pPr>
          </w:p>
          <w:p w14:paraId="4F12C92D" w14:textId="77777777" w:rsidR="00FA649D" w:rsidRDefault="00FA649D" w:rsidP="000E7EA4">
            <w:pPr>
              <w:spacing w:after="0"/>
              <w:rPr>
                <w:b/>
              </w:rPr>
            </w:pPr>
          </w:p>
          <w:p w14:paraId="1EBC91A6" w14:textId="77777777" w:rsidR="00FA649D" w:rsidRDefault="00FA649D" w:rsidP="000E7EA4">
            <w:pPr>
              <w:spacing w:after="0"/>
              <w:rPr>
                <w:b/>
              </w:rPr>
            </w:pPr>
          </w:p>
          <w:p w14:paraId="432C6007" w14:textId="77777777" w:rsidR="00FA649D" w:rsidRDefault="00FA649D" w:rsidP="000E7EA4">
            <w:pPr>
              <w:spacing w:after="0"/>
              <w:rPr>
                <w:b/>
              </w:rPr>
            </w:pPr>
            <w:r>
              <w:rPr>
                <w:b/>
              </w:rPr>
              <w:t>Le locataire,</w:t>
            </w:r>
          </w:p>
          <w:p w14:paraId="186CB467" w14:textId="77777777" w:rsidR="00FA649D" w:rsidRDefault="00FA649D" w:rsidP="000E7EA4">
            <w:pPr>
              <w:spacing w:after="0"/>
            </w:pPr>
            <w:r>
              <w:t>Le ………………………………...</w:t>
            </w:r>
          </w:p>
          <w:p w14:paraId="1D518E50" w14:textId="77777777" w:rsidR="00FA649D" w:rsidRDefault="00FA649D" w:rsidP="000E7EA4">
            <w:pPr>
              <w:spacing w:after="0"/>
            </w:pPr>
          </w:p>
          <w:p w14:paraId="5CCD640F" w14:textId="77777777" w:rsidR="00FA649D" w:rsidRDefault="00FA649D" w:rsidP="000E7EA4">
            <w:pPr>
              <w:spacing w:after="0"/>
            </w:pPr>
          </w:p>
          <w:p w14:paraId="4E847ADA" w14:textId="77777777" w:rsidR="00FA649D" w:rsidRDefault="00FA649D" w:rsidP="000E7EA4">
            <w:pPr>
              <w:spacing w:after="0"/>
            </w:pPr>
          </w:p>
          <w:p w14:paraId="4B69CA25" w14:textId="77777777" w:rsidR="00FA649D" w:rsidRDefault="00FA649D" w:rsidP="000E7EA4">
            <w:pPr>
              <w:spacing w:after="0"/>
            </w:pPr>
          </w:p>
          <w:p w14:paraId="347CDC30" w14:textId="77777777" w:rsidR="00FA649D" w:rsidRDefault="00FA649D" w:rsidP="000E7EA4">
            <w:pPr>
              <w:spacing w:after="0"/>
            </w:pPr>
          </w:p>
          <w:p w14:paraId="3517E2BF" w14:textId="77777777" w:rsidR="00FA649D" w:rsidRDefault="00FA649D" w:rsidP="000E7EA4">
            <w:pPr>
              <w:spacing w:after="0"/>
            </w:pPr>
            <w:r>
              <w:rPr>
                <w:b/>
              </w:rPr>
              <w:t>Le(s) associés,</w:t>
            </w:r>
          </w:p>
          <w:p w14:paraId="706293E6" w14:textId="77777777" w:rsidR="00FA649D" w:rsidRPr="00C206B1" w:rsidRDefault="00FA649D" w:rsidP="000E7EA4">
            <w:pPr>
              <w:spacing w:after="0"/>
            </w:pPr>
            <w:r>
              <w:t>Le ……………………………….</w:t>
            </w:r>
          </w:p>
          <w:p w14:paraId="10D0C895" w14:textId="77777777" w:rsidR="00FA649D" w:rsidRDefault="00FA649D" w:rsidP="000E7EA4">
            <w:pPr>
              <w:spacing w:after="0"/>
            </w:pPr>
          </w:p>
          <w:p w14:paraId="34ABB081" w14:textId="77777777" w:rsidR="00FA649D" w:rsidRDefault="00FA649D" w:rsidP="000E7EA4">
            <w:pPr>
              <w:spacing w:after="0"/>
            </w:pPr>
          </w:p>
          <w:p w14:paraId="399F1D6E" w14:textId="77777777" w:rsidR="00FA649D" w:rsidRDefault="00FA649D" w:rsidP="000E7EA4">
            <w:pPr>
              <w:spacing w:after="0"/>
            </w:pPr>
          </w:p>
        </w:tc>
        <w:tc>
          <w:tcPr>
            <w:tcW w:w="1559" w:type="dxa"/>
          </w:tcPr>
          <w:p w14:paraId="2838D343" w14:textId="77777777" w:rsidR="00FA649D" w:rsidRDefault="00FA649D" w:rsidP="000E7EA4">
            <w:pPr>
              <w:spacing w:after="0"/>
            </w:pPr>
          </w:p>
        </w:tc>
        <w:tc>
          <w:tcPr>
            <w:tcW w:w="4180" w:type="dxa"/>
          </w:tcPr>
          <w:p w14:paraId="270D8410" w14:textId="77777777" w:rsidR="00FA649D" w:rsidRDefault="00FA649D" w:rsidP="000E7EA4">
            <w:pPr>
              <w:pStyle w:val="TM1"/>
              <w:spacing w:before="80" w:after="0"/>
              <w:rPr>
                <w:caps w:val="0"/>
              </w:rPr>
            </w:pPr>
            <w:r>
              <w:rPr>
                <w:caps w:val="0"/>
              </w:rPr>
              <w:t>Pour le conseil communal,</w:t>
            </w:r>
          </w:p>
          <w:p w14:paraId="4C9021AB" w14:textId="77777777" w:rsidR="00FA649D" w:rsidRDefault="00FA649D" w:rsidP="000E7EA4">
            <w:pPr>
              <w:spacing w:after="0"/>
            </w:pPr>
            <w:r>
              <w:t>En séance du 25mars 2026</w:t>
            </w:r>
          </w:p>
          <w:p w14:paraId="50687E61" w14:textId="77777777" w:rsidR="00FA649D" w:rsidRDefault="00FA649D" w:rsidP="000E7EA4">
            <w:pPr>
              <w:spacing w:after="0"/>
            </w:pPr>
          </w:p>
          <w:p w14:paraId="53C5203C" w14:textId="77777777" w:rsidR="00FA649D" w:rsidRDefault="00FA649D" w:rsidP="000E7EA4">
            <w:pPr>
              <w:spacing w:after="0"/>
            </w:pPr>
          </w:p>
          <w:p w14:paraId="4C728533" w14:textId="77777777" w:rsidR="00FA649D" w:rsidRDefault="00FA649D" w:rsidP="000E7EA4">
            <w:pPr>
              <w:spacing w:after="0"/>
            </w:pPr>
            <w:r>
              <w:t>Le Directeur général,</w:t>
            </w:r>
          </w:p>
          <w:p w14:paraId="606CC27A" w14:textId="77777777" w:rsidR="00FA649D" w:rsidRDefault="00FA649D" w:rsidP="000E7EA4">
            <w:pPr>
              <w:spacing w:after="0"/>
            </w:pPr>
          </w:p>
          <w:p w14:paraId="476DB110" w14:textId="77777777" w:rsidR="00FA649D" w:rsidRDefault="00FA649D" w:rsidP="000E7EA4">
            <w:pPr>
              <w:spacing w:after="0"/>
            </w:pPr>
          </w:p>
          <w:p w14:paraId="562E9E7C" w14:textId="77777777" w:rsidR="00FA649D" w:rsidRDefault="00FA649D" w:rsidP="000E7EA4">
            <w:pPr>
              <w:spacing w:after="0"/>
            </w:pPr>
            <w:r>
              <w:t xml:space="preserve">M. </w:t>
            </w:r>
            <w:proofErr w:type="spellStart"/>
            <w:r>
              <w:t>Cheppe</w:t>
            </w:r>
            <w:proofErr w:type="spellEnd"/>
            <w:r>
              <w:t xml:space="preserve">                             Le Bourgmestre,</w:t>
            </w:r>
          </w:p>
          <w:p w14:paraId="5582D58F" w14:textId="77777777" w:rsidR="00FA649D" w:rsidRDefault="00FA649D" w:rsidP="000E7EA4">
            <w:pPr>
              <w:spacing w:after="0"/>
            </w:pPr>
          </w:p>
          <w:p w14:paraId="1747B8FA" w14:textId="77777777" w:rsidR="00FA649D" w:rsidRDefault="00FA649D" w:rsidP="000E7EA4">
            <w:pPr>
              <w:spacing w:after="0"/>
            </w:pPr>
          </w:p>
          <w:p w14:paraId="3590031F" w14:textId="77777777" w:rsidR="00FA649D" w:rsidRDefault="00FA649D" w:rsidP="000E7EA4">
            <w:pPr>
              <w:spacing w:after="0"/>
            </w:pPr>
          </w:p>
          <w:p w14:paraId="70D48DDB" w14:textId="77777777" w:rsidR="00FA649D" w:rsidRDefault="00FA649D" w:rsidP="000E7EA4">
            <w:pPr>
              <w:spacing w:after="0"/>
            </w:pPr>
            <w:r>
              <w:t xml:space="preserve">                                                  S. Huberty </w:t>
            </w:r>
          </w:p>
        </w:tc>
      </w:tr>
      <w:tr w:rsidR="00FA649D" w14:paraId="7427031B" w14:textId="77777777" w:rsidTr="000E7EA4">
        <w:tc>
          <w:tcPr>
            <w:tcW w:w="3189" w:type="dxa"/>
          </w:tcPr>
          <w:p w14:paraId="7CB41950" w14:textId="77777777" w:rsidR="00FA649D" w:rsidRDefault="00FA649D" w:rsidP="000E7EA4">
            <w:pPr>
              <w:spacing w:after="0"/>
            </w:pPr>
          </w:p>
        </w:tc>
        <w:tc>
          <w:tcPr>
            <w:tcW w:w="1559" w:type="dxa"/>
          </w:tcPr>
          <w:p w14:paraId="243C03CE" w14:textId="77777777" w:rsidR="00FA649D" w:rsidRDefault="00FA649D" w:rsidP="000E7EA4">
            <w:pPr>
              <w:spacing w:after="0"/>
            </w:pPr>
          </w:p>
        </w:tc>
        <w:tc>
          <w:tcPr>
            <w:tcW w:w="4180" w:type="dxa"/>
          </w:tcPr>
          <w:p w14:paraId="2D6AC57C" w14:textId="77777777" w:rsidR="00FA649D" w:rsidRDefault="00FA649D" w:rsidP="000E7EA4">
            <w:pPr>
              <w:spacing w:after="0"/>
            </w:pPr>
          </w:p>
        </w:tc>
      </w:tr>
    </w:tbl>
    <w:p w14:paraId="17AF1394" w14:textId="77777777" w:rsidR="00FA649D" w:rsidRDefault="00FA649D" w:rsidP="00FA649D">
      <w:pPr>
        <w:pStyle w:val="Annexe"/>
        <w:jc w:val="both"/>
      </w:pPr>
    </w:p>
    <w:p w14:paraId="1E7D7C68" w14:textId="77777777" w:rsidR="005B59E9" w:rsidRDefault="005B59E9"/>
    <w:sectPr w:rsidR="005B59E9" w:rsidSect="00FA649D">
      <w:footerReference w:type="default" r:id="rId9"/>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1C53" w14:textId="77777777" w:rsidR="002F380D" w:rsidRDefault="002F380D" w:rsidP="00FA649D">
      <w:pPr>
        <w:spacing w:before="0" w:after="0"/>
      </w:pPr>
      <w:r>
        <w:separator/>
      </w:r>
    </w:p>
  </w:endnote>
  <w:endnote w:type="continuationSeparator" w:id="0">
    <w:p w14:paraId="054792B6" w14:textId="77777777" w:rsidR="002F380D" w:rsidRDefault="002F380D" w:rsidP="00FA64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EBA0" w14:textId="77777777" w:rsidR="00FA649D" w:rsidRDefault="00FA64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4A22C7" w14:textId="77777777" w:rsidR="00FA649D" w:rsidRDefault="00FA64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936D" w14:textId="77777777" w:rsidR="00FA649D" w:rsidRDefault="00FA649D">
    <w:pPr>
      <w:pStyle w:val="Pieddepage"/>
      <w:framePr w:wrap="around" w:vAnchor="text" w:hAnchor="margin" w:xAlign="right" w:y="1"/>
      <w:rPr>
        <w:rStyle w:val="Numrodepage"/>
        <w:smallCaps/>
        <w:sz w:val="18"/>
      </w:rPr>
    </w:pPr>
    <w:r>
      <w:rPr>
        <w:rStyle w:val="Numrodepage"/>
        <w:smallCaps/>
        <w:sz w:val="18"/>
      </w:rPr>
      <w:t xml:space="preserve">Page - </w:t>
    </w:r>
    <w:r>
      <w:rPr>
        <w:rStyle w:val="Numrodepage"/>
        <w:smallCaps/>
        <w:sz w:val="18"/>
      </w:rPr>
      <w:fldChar w:fldCharType="begin"/>
    </w:r>
    <w:r>
      <w:rPr>
        <w:rStyle w:val="Numrodepage"/>
        <w:smallCaps/>
        <w:sz w:val="18"/>
      </w:rPr>
      <w:instrText xml:space="preserve">PAGE  </w:instrText>
    </w:r>
    <w:r>
      <w:rPr>
        <w:rStyle w:val="Numrodepage"/>
        <w:smallCaps/>
        <w:sz w:val="18"/>
      </w:rPr>
      <w:fldChar w:fldCharType="separate"/>
    </w:r>
    <w:r>
      <w:rPr>
        <w:rStyle w:val="Numrodepage"/>
        <w:smallCaps/>
        <w:noProof/>
        <w:sz w:val="18"/>
      </w:rPr>
      <w:t>15</w:t>
    </w:r>
    <w:r>
      <w:rPr>
        <w:rStyle w:val="Numrodepage"/>
        <w:smallCaps/>
        <w:sz w:val="18"/>
      </w:rPr>
      <w:fldChar w:fldCharType="end"/>
    </w:r>
  </w:p>
  <w:p w14:paraId="1AA286A1" w14:textId="77777777" w:rsidR="00FA649D" w:rsidRDefault="00FA649D" w:rsidP="002D0B8E">
    <w:pPr>
      <w:pStyle w:val="Pieddepage"/>
      <w:ind w:right="360"/>
      <w:rPr>
        <w:smallCap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783B" w14:textId="77777777" w:rsidR="002F380D" w:rsidRDefault="002F380D" w:rsidP="00FA649D">
      <w:pPr>
        <w:spacing w:before="0" w:after="0"/>
      </w:pPr>
      <w:r>
        <w:separator/>
      </w:r>
    </w:p>
  </w:footnote>
  <w:footnote w:type="continuationSeparator" w:id="0">
    <w:p w14:paraId="7E39A448" w14:textId="77777777" w:rsidR="002F380D" w:rsidRDefault="002F380D" w:rsidP="00FA649D">
      <w:pPr>
        <w:spacing w:before="0" w:after="0"/>
      </w:pPr>
      <w:r>
        <w:continuationSeparator/>
      </w:r>
    </w:p>
  </w:footnote>
  <w:footnote w:id="1">
    <w:p w14:paraId="328ED67B" w14:textId="77777777" w:rsidR="00FA649D" w:rsidRDefault="00FA649D" w:rsidP="00FA649D">
      <w:pPr>
        <w:pStyle w:val="Notedebasdepage"/>
        <w:rPr>
          <w:sz w:val="16"/>
        </w:rPr>
      </w:pPr>
      <w:r>
        <w:rPr>
          <w:rStyle w:val="Appelnotedebasdep"/>
          <w:sz w:val="16"/>
        </w:rPr>
        <w:footnoteRef/>
      </w:r>
      <w:r>
        <w:rPr>
          <w:sz w:val="16"/>
        </w:rPr>
        <w:t xml:space="preserve"> Pour la définition des modes de chasse auxquels il est fait référence dans les clauses générales ou particulières du présent cahier des charges, on se réfèrera au glossaire repris en </w:t>
      </w:r>
      <w:hyperlink w:anchor="Annexe_X" w:history="1">
        <w:r>
          <w:rPr>
            <w:rStyle w:val="Lienhypertexte"/>
            <w:sz w:val="16"/>
          </w:rPr>
          <w:t>annexe X</w:t>
        </w:r>
      </w:hyperlink>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7D2C"/>
    <w:multiLevelType w:val="hybridMultilevel"/>
    <w:tmpl w:val="C87CB32A"/>
    <w:lvl w:ilvl="0" w:tplc="657CBBA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FFF60BA"/>
    <w:multiLevelType w:val="multilevel"/>
    <w:tmpl w:val="11CC0E3A"/>
    <w:lvl w:ilvl="0">
      <w:start w:val="1"/>
      <w:numFmt w:val="upperRoman"/>
      <w:pStyle w:val="Chapitre"/>
      <w:suff w:val="nothing"/>
      <w:lvlText w:val="Chapitre %1 - "/>
      <w:lvlJc w:val="left"/>
      <w:pPr>
        <w:ind w:left="0" w:firstLine="0"/>
      </w:pPr>
      <w:rPr>
        <w:b/>
        <w:i w:val="0"/>
        <w:sz w:val="28"/>
      </w:rPr>
    </w:lvl>
    <w:lvl w:ilvl="1">
      <w:start w:val="1"/>
      <w:numFmt w:val="decimal"/>
      <w:lvlRestart w:val="0"/>
      <w:pStyle w:val="Article"/>
      <w:suff w:val="nothing"/>
      <w:lvlText w:val="Article %2 - "/>
      <w:lvlJc w:val="left"/>
      <w:pPr>
        <w:ind w:left="0" w:firstLine="0"/>
      </w:pPr>
      <w:rPr>
        <w:rFonts w:ascii="Times New Roman" w:hAnsi="Times New Roman" w:hint="default"/>
        <w:b/>
        <w:i w:val="0"/>
        <w:sz w:val="20"/>
      </w:rPr>
    </w:lvl>
    <w:lvl w:ilvl="2">
      <w:start w:val="1"/>
      <w:numFmt w:val="upperLetter"/>
      <w:pStyle w:val="ArticleNiv1"/>
      <w:lvlText w:val="%3."/>
      <w:lvlJc w:val="left"/>
      <w:pPr>
        <w:tabs>
          <w:tab w:val="num" w:pos="360"/>
        </w:tabs>
        <w:ind w:left="357" w:hanging="357"/>
      </w:pPr>
      <w:rPr>
        <w:u w:val="none"/>
      </w:rPr>
    </w:lvl>
    <w:lvl w:ilvl="3">
      <w:start w:val="1"/>
      <w:numFmt w:val="decimal"/>
      <w:pStyle w:val="ArticleNiv2"/>
      <w:lvlText w:val="%4."/>
      <w:lvlJc w:val="left"/>
      <w:pPr>
        <w:tabs>
          <w:tab w:val="num" w:pos="454"/>
        </w:tabs>
        <w:ind w:left="454" w:hanging="454"/>
      </w:pPr>
      <w:rPr>
        <w:u w:val="none"/>
      </w:rPr>
    </w:lvl>
    <w:lvl w:ilvl="4">
      <w:start w:val="1"/>
      <w:numFmt w:val="lowerLetter"/>
      <w:pStyle w:val="ArticleNiv3"/>
      <w:lvlText w:val="%5)"/>
      <w:lvlJc w:val="left"/>
      <w:pPr>
        <w:tabs>
          <w:tab w:val="num" w:pos="814"/>
        </w:tabs>
        <w:ind w:left="811" w:hanging="357"/>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11513334">
    <w:abstractNumId w:val="1"/>
  </w:num>
  <w:num w:numId="2" w16cid:durableId="1878541908">
    <w:abstractNumId w:val="1"/>
    <w:lvlOverride w:ilvl="0">
      <w:startOverride w:val="2"/>
    </w:lvlOverride>
    <w:lvlOverride w:ilvl="1">
      <w:startOverride w:val="10"/>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887766">
    <w:abstractNumId w:val="1"/>
    <w:lvlOverride w:ilvl="0">
      <w:startOverride w:val="2"/>
    </w:lvlOverride>
    <w:lvlOverride w:ilvl="1">
      <w:startOverride w:val="13"/>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423354">
    <w:abstractNumId w:val="1"/>
    <w:lvlOverride w:ilvl="0">
      <w:startOverride w:val="2"/>
    </w:lvlOverride>
    <w:lvlOverride w:ilvl="1">
      <w:startOverride w:val="13"/>
    </w:lvlOverride>
    <w:lvlOverride w:ilvl="2">
      <w:startOverride w:val="3"/>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36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9D"/>
    <w:rsid w:val="00295A36"/>
    <w:rsid w:val="002F380D"/>
    <w:rsid w:val="0053454F"/>
    <w:rsid w:val="005B59E9"/>
    <w:rsid w:val="0072536D"/>
    <w:rsid w:val="008B64AD"/>
    <w:rsid w:val="009227F3"/>
    <w:rsid w:val="00D47ED9"/>
    <w:rsid w:val="00D91BB7"/>
    <w:rsid w:val="00F11449"/>
    <w:rsid w:val="00FA6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D8CE"/>
  <w15:chartTrackingRefBased/>
  <w15:docId w15:val="{6CB66FD8-3105-4618-9180-FEB66230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49D"/>
    <w:pPr>
      <w:spacing w:before="80" w:after="80" w:line="240" w:lineRule="auto"/>
      <w:jc w:val="both"/>
    </w:pPr>
    <w:rPr>
      <w:rFonts w:ascii="Times New Roman" w:eastAsia="Times New Roman" w:hAnsi="Times New Roman" w:cs="Times New Roman"/>
      <w:sz w:val="20"/>
      <w:szCs w:val="20"/>
      <w:lang w:eastAsia="fr-BE"/>
    </w:rPr>
  </w:style>
  <w:style w:type="paragraph" w:styleId="Titre1">
    <w:name w:val="heading 1"/>
    <w:basedOn w:val="Normal"/>
    <w:next w:val="Normal"/>
    <w:link w:val="Titre1Car"/>
    <w:uiPriority w:val="9"/>
    <w:qFormat/>
    <w:rsid w:val="00FA649D"/>
    <w:pPr>
      <w:keepNext/>
      <w:keepLines/>
      <w:spacing w:before="36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A649D"/>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A649D"/>
    <w:pPr>
      <w:keepNext/>
      <w:keepLines/>
      <w:spacing w:before="16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A649D"/>
    <w:pPr>
      <w:keepNext/>
      <w:keepLines/>
      <w:spacing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FA649D"/>
    <w:pPr>
      <w:keepNext/>
      <w:keepLines/>
      <w:spacing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FA64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64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64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64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649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A649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A649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FA649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FA649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FA64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64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64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649D"/>
    <w:rPr>
      <w:rFonts w:eastAsiaTheme="majorEastAsia" w:cstheme="majorBidi"/>
      <w:color w:val="272727" w:themeColor="text1" w:themeTint="D8"/>
    </w:rPr>
  </w:style>
  <w:style w:type="paragraph" w:styleId="Titre">
    <w:name w:val="Title"/>
    <w:basedOn w:val="Normal"/>
    <w:next w:val="Normal"/>
    <w:link w:val="TitreCar"/>
    <w:qFormat/>
    <w:rsid w:val="00FA649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64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649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64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649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A649D"/>
    <w:rPr>
      <w:i/>
      <w:iCs/>
      <w:color w:val="404040" w:themeColor="text1" w:themeTint="BF"/>
    </w:rPr>
  </w:style>
  <w:style w:type="paragraph" w:styleId="Paragraphedeliste">
    <w:name w:val="List Paragraph"/>
    <w:basedOn w:val="Normal"/>
    <w:uiPriority w:val="34"/>
    <w:qFormat/>
    <w:rsid w:val="00FA649D"/>
    <w:pPr>
      <w:ind w:left="720"/>
      <w:contextualSpacing/>
    </w:pPr>
  </w:style>
  <w:style w:type="character" w:styleId="Accentuationintense">
    <w:name w:val="Intense Emphasis"/>
    <w:basedOn w:val="Policepardfaut"/>
    <w:uiPriority w:val="21"/>
    <w:qFormat/>
    <w:rsid w:val="00FA649D"/>
    <w:rPr>
      <w:i/>
      <w:iCs/>
      <w:color w:val="365F91" w:themeColor="accent1" w:themeShade="BF"/>
    </w:rPr>
  </w:style>
  <w:style w:type="paragraph" w:styleId="Citationintense">
    <w:name w:val="Intense Quote"/>
    <w:basedOn w:val="Normal"/>
    <w:next w:val="Normal"/>
    <w:link w:val="CitationintenseCar"/>
    <w:uiPriority w:val="30"/>
    <w:qFormat/>
    <w:rsid w:val="00FA64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A649D"/>
    <w:rPr>
      <w:i/>
      <w:iCs/>
      <w:color w:val="365F91" w:themeColor="accent1" w:themeShade="BF"/>
    </w:rPr>
  </w:style>
  <w:style w:type="character" w:styleId="Rfrenceintense">
    <w:name w:val="Intense Reference"/>
    <w:basedOn w:val="Policepardfaut"/>
    <w:uiPriority w:val="32"/>
    <w:qFormat/>
    <w:rsid w:val="00FA649D"/>
    <w:rPr>
      <w:b/>
      <w:bCs/>
      <w:smallCaps/>
      <w:color w:val="365F91" w:themeColor="accent1" w:themeShade="BF"/>
      <w:spacing w:val="5"/>
    </w:rPr>
  </w:style>
  <w:style w:type="paragraph" w:customStyle="1" w:styleId="Chapitre">
    <w:name w:val="Chapitre"/>
    <w:basedOn w:val="Normal"/>
    <w:next w:val="Normal"/>
    <w:rsid w:val="00FA649D"/>
    <w:pPr>
      <w:numPr>
        <w:numId w:val="1"/>
      </w:numPr>
      <w:pBdr>
        <w:top w:val="single" w:sz="4" w:space="1" w:color="auto"/>
        <w:bottom w:val="single" w:sz="4" w:space="1" w:color="auto"/>
      </w:pBdr>
      <w:spacing w:before="240" w:after="360"/>
      <w:jc w:val="center"/>
      <w:outlineLvl w:val="0"/>
    </w:pPr>
    <w:rPr>
      <w:b/>
      <w:sz w:val="28"/>
    </w:rPr>
  </w:style>
  <w:style w:type="paragraph" w:customStyle="1" w:styleId="Article">
    <w:name w:val="Article"/>
    <w:basedOn w:val="Normal"/>
    <w:next w:val="Normal"/>
    <w:rsid w:val="00FA649D"/>
    <w:pPr>
      <w:numPr>
        <w:ilvl w:val="1"/>
        <w:numId w:val="1"/>
      </w:numPr>
      <w:spacing w:before="160" w:after="120"/>
      <w:outlineLvl w:val="1"/>
    </w:pPr>
    <w:rPr>
      <w:b/>
    </w:rPr>
  </w:style>
  <w:style w:type="paragraph" w:customStyle="1" w:styleId="ArticleNiv1">
    <w:name w:val="Article_Niv1"/>
    <w:basedOn w:val="Normal"/>
    <w:next w:val="Normal"/>
    <w:rsid w:val="00FA649D"/>
    <w:pPr>
      <w:numPr>
        <w:ilvl w:val="2"/>
        <w:numId w:val="1"/>
      </w:numPr>
      <w:spacing w:before="120" w:after="120"/>
    </w:pPr>
    <w:rPr>
      <w:u w:val="single"/>
    </w:rPr>
  </w:style>
  <w:style w:type="paragraph" w:customStyle="1" w:styleId="ArticleNiv2">
    <w:name w:val="Article_Niv2"/>
    <w:basedOn w:val="Normal"/>
    <w:next w:val="Normal"/>
    <w:rsid w:val="00FA649D"/>
    <w:pPr>
      <w:numPr>
        <w:ilvl w:val="3"/>
        <w:numId w:val="1"/>
      </w:numPr>
      <w:spacing w:before="120" w:after="120"/>
    </w:pPr>
  </w:style>
  <w:style w:type="paragraph" w:customStyle="1" w:styleId="ArticleNiv3">
    <w:name w:val="Article_Niv3"/>
    <w:basedOn w:val="Normal"/>
    <w:next w:val="Normal"/>
    <w:rsid w:val="00FA649D"/>
    <w:pPr>
      <w:numPr>
        <w:ilvl w:val="4"/>
        <w:numId w:val="1"/>
      </w:numPr>
      <w:spacing w:before="40"/>
    </w:pPr>
  </w:style>
  <w:style w:type="paragraph" w:styleId="TM1">
    <w:name w:val="toc 1"/>
    <w:basedOn w:val="Normal"/>
    <w:next w:val="Normal"/>
    <w:autoRedefine/>
    <w:semiHidden/>
    <w:rsid w:val="00FA649D"/>
    <w:pPr>
      <w:spacing w:before="120" w:after="120"/>
    </w:pPr>
    <w:rPr>
      <w:b/>
      <w:caps/>
    </w:rPr>
  </w:style>
  <w:style w:type="paragraph" w:styleId="Notedebasdepage">
    <w:name w:val="footnote text"/>
    <w:basedOn w:val="Normal"/>
    <w:link w:val="NotedebasdepageCar"/>
    <w:semiHidden/>
    <w:rsid w:val="00FA649D"/>
    <w:pPr>
      <w:spacing w:before="0" w:after="0"/>
      <w:jc w:val="left"/>
    </w:pPr>
    <w:rPr>
      <w:lang w:val="fr-CA"/>
    </w:rPr>
  </w:style>
  <w:style w:type="character" w:customStyle="1" w:styleId="NotedebasdepageCar">
    <w:name w:val="Note de bas de page Car"/>
    <w:basedOn w:val="Policepardfaut"/>
    <w:link w:val="Notedebasdepage"/>
    <w:semiHidden/>
    <w:rsid w:val="00FA649D"/>
    <w:rPr>
      <w:rFonts w:ascii="Times New Roman" w:eastAsia="Times New Roman" w:hAnsi="Times New Roman" w:cs="Times New Roman"/>
      <w:sz w:val="20"/>
      <w:szCs w:val="20"/>
      <w:lang w:val="fr-CA" w:eastAsia="fr-BE"/>
    </w:rPr>
  </w:style>
  <w:style w:type="character" w:styleId="Appelnotedebasdep">
    <w:name w:val="footnote reference"/>
    <w:semiHidden/>
    <w:rsid w:val="00FA649D"/>
    <w:rPr>
      <w:vertAlign w:val="superscript"/>
    </w:rPr>
  </w:style>
  <w:style w:type="paragraph" w:styleId="Pieddepage">
    <w:name w:val="footer"/>
    <w:basedOn w:val="Normal"/>
    <w:link w:val="PieddepageCar"/>
    <w:semiHidden/>
    <w:rsid w:val="00FA649D"/>
    <w:pPr>
      <w:tabs>
        <w:tab w:val="center" w:pos="4536"/>
        <w:tab w:val="right" w:pos="9072"/>
      </w:tabs>
      <w:spacing w:before="0" w:after="0"/>
      <w:jc w:val="left"/>
    </w:pPr>
    <w:rPr>
      <w:lang w:val="fr-CA"/>
    </w:rPr>
  </w:style>
  <w:style w:type="character" w:customStyle="1" w:styleId="PieddepageCar">
    <w:name w:val="Pied de page Car"/>
    <w:basedOn w:val="Policepardfaut"/>
    <w:link w:val="Pieddepage"/>
    <w:semiHidden/>
    <w:rsid w:val="00FA649D"/>
    <w:rPr>
      <w:rFonts w:ascii="Times New Roman" w:eastAsia="Times New Roman" w:hAnsi="Times New Roman" w:cs="Times New Roman"/>
      <w:sz w:val="20"/>
      <w:szCs w:val="20"/>
      <w:lang w:val="fr-CA" w:eastAsia="fr-BE"/>
    </w:rPr>
  </w:style>
  <w:style w:type="character" w:styleId="Numrodepage">
    <w:name w:val="page number"/>
    <w:basedOn w:val="Policepardfaut"/>
    <w:semiHidden/>
    <w:rsid w:val="00FA649D"/>
  </w:style>
  <w:style w:type="character" w:styleId="Lienhypertexte">
    <w:name w:val="Hyperlink"/>
    <w:semiHidden/>
    <w:rsid w:val="00FA649D"/>
    <w:rPr>
      <w:color w:val="0000FF"/>
      <w:u w:val="single"/>
    </w:rPr>
  </w:style>
  <w:style w:type="paragraph" w:customStyle="1" w:styleId="Annexe">
    <w:name w:val="Annexe"/>
    <w:basedOn w:val="Normal"/>
    <w:next w:val="Normal"/>
    <w:rsid w:val="00FA649D"/>
    <w:pPr>
      <w:spacing w:before="0" w:after="240"/>
      <w:jc w:val="center"/>
      <w:outlineLvl w:val="0"/>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lon.dnf.dgrne@mrw.walloni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8080</Words>
  <Characters>44445</Characters>
  <Application>Microsoft Office Word</Application>
  <DocSecurity>0</DocSecurity>
  <Lines>370</Lines>
  <Paragraphs>104</Paragraphs>
  <ScaleCrop>false</ScaleCrop>
  <Company>Hewlett-Packard Company</Company>
  <LinksUpToDate>false</LinksUpToDate>
  <CharactersWithSpaces>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LAVAL</dc:creator>
  <cp:keywords/>
  <dc:description/>
  <cp:lastModifiedBy>Céline LAVAL</cp:lastModifiedBy>
  <cp:revision>6</cp:revision>
  <dcterms:created xsi:type="dcterms:W3CDTF">2026-03-13T12:46:00Z</dcterms:created>
  <dcterms:modified xsi:type="dcterms:W3CDTF">2026-03-13T12:55:00Z</dcterms:modified>
</cp:coreProperties>
</file>