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84F" w:rsidRDefault="001953E2" w:rsidP="002F008B">
      <w:pPr>
        <w:pStyle w:val="Titre1"/>
        <w:jc w:val="both"/>
        <w:rPr>
          <w:b/>
          <w:u w:val="single"/>
        </w:rPr>
      </w:pPr>
      <w:r>
        <w:rPr>
          <w:b/>
          <w:u w:val="single"/>
        </w:rPr>
        <w:t>Politique intégrée de la v</w:t>
      </w:r>
      <w:r w:rsidRPr="001953E2">
        <w:rPr>
          <w:b/>
          <w:u w:val="single"/>
        </w:rPr>
        <w:t xml:space="preserve">ille : </w:t>
      </w:r>
      <w:r>
        <w:rPr>
          <w:b/>
          <w:u w:val="single"/>
        </w:rPr>
        <w:t>Note de synthèse.</w:t>
      </w:r>
    </w:p>
    <w:p w:rsidR="00F778A3" w:rsidRDefault="00F778A3" w:rsidP="002F008B">
      <w:pPr>
        <w:jc w:val="both"/>
      </w:pPr>
    </w:p>
    <w:p w:rsidR="001953E2" w:rsidRPr="0039719A" w:rsidRDefault="00DC7028" w:rsidP="002F008B">
      <w:pPr>
        <w:jc w:val="both"/>
      </w:pPr>
      <w:r w:rsidRPr="0039719A">
        <w:t>Le Gouvernement</w:t>
      </w:r>
      <w:r w:rsidR="002F008B">
        <w:t xml:space="preserve"> </w:t>
      </w:r>
      <w:r w:rsidRPr="0039719A">
        <w:t>approuve le lancement, avant la fin du premier semestre 2021, d’une opération pluriannuelle et transversale</w:t>
      </w:r>
      <w:r w:rsidR="002F008B">
        <w:t xml:space="preserve"> (jusqu’en 2024 inclus)</w:t>
      </w:r>
      <w:r w:rsidRPr="0039719A">
        <w:t xml:space="preserve"> de soutien à la politique intégrée de la ville.</w:t>
      </w:r>
      <w:r w:rsidR="002F008B">
        <w:t xml:space="preserve"> Dans le cadre de cette opération et sur base d’un budget global de </w:t>
      </w:r>
      <w:r w:rsidR="002F008B" w:rsidRPr="002F008B">
        <w:rPr>
          <w:u w:val="single"/>
        </w:rPr>
        <w:t>240M€</w:t>
      </w:r>
      <w:r w:rsidR="002F008B">
        <w:t xml:space="preserve">, il est proposé que le Gouvernement soutienne les villes wallonnes de plus de </w:t>
      </w:r>
      <w:bookmarkStart w:id="0" w:name="_GoBack"/>
      <w:bookmarkEnd w:id="0"/>
      <w:r w:rsidR="002F008B">
        <w:t>50.000 habitants dans le cadre d’un mécanisme type « droit de tirage ».</w:t>
      </w:r>
    </w:p>
    <w:p w:rsidR="00DC7028" w:rsidRPr="002F008B" w:rsidRDefault="002F008B" w:rsidP="002F008B">
      <w:pPr>
        <w:jc w:val="both"/>
      </w:pPr>
      <w:r w:rsidRPr="002F008B">
        <w:t>Il</w:t>
      </w:r>
      <w:r w:rsidR="00DC7028" w:rsidRPr="002F008B">
        <w:t xml:space="preserve"> s’engage à créer des articles budgétaires </w:t>
      </w:r>
      <w:r w:rsidR="00BB4F23" w:rsidRPr="002F008B">
        <w:t xml:space="preserve">spécifiques à chaque ville au sein du programme 16.03 en vue de procéder, </w:t>
      </w:r>
      <w:r w:rsidR="00BB4F23" w:rsidRPr="002F008B">
        <w:rPr>
          <w:u w:val="single"/>
        </w:rPr>
        <w:t>lorsque les plans d’actions auront été approuvés par le Gouvernement</w:t>
      </w:r>
      <w:r w:rsidR="00BB4F23" w:rsidRPr="002F008B">
        <w:t>, aux réallocations et transferts de moyens vers ces nouveaux articles budgétaires.</w:t>
      </w:r>
    </w:p>
    <w:p w:rsidR="00BB4F23" w:rsidRPr="000F53CC" w:rsidRDefault="00BB4F23" w:rsidP="002F008B">
      <w:pPr>
        <w:jc w:val="both"/>
      </w:pPr>
      <w:r w:rsidRPr="000F53CC">
        <w:t>Il charge le Ministre</w:t>
      </w:r>
      <w:r w:rsidR="002F008B" w:rsidRPr="000F53CC">
        <w:t xml:space="preserve"> ayant la Politique</w:t>
      </w:r>
      <w:r w:rsidRPr="000F53CC">
        <w:t xml:space="preserve"> de la Ville </w:t>
      </w:r>
      <w:r w:rsidR="002F008B" w:rsidRPr="000F53CC">
        <w:t xml:space="preserve">dans ses attributions </w:t>
      </w:r>
      <w:r w:rsidRPr="000F53CC">
        <w:t xml:space="preserve">de lui soumettre, pour le 6 mai 2021, </w:t>
      </w:r>
      <w:r w:rsidR="007B6597" w:rsidRPr="000F53CC">
        <w:t>la</w:t>
      </w:r>
      <w:r w:rsidRPr="000F53CC">
        <w:t xml:space="preserve"> circulaire portant sur la procédure et les modalités de mise en œuvre du droit de tirage.</w:t>
      </w:r>
    </w:p>
    <w:p w:rsidR="005D50A6" w:rsidRDefault="005D50A6" w:rsidP="002F008B">
      <w:pPr>
        <w:jc w:val="both"/>
      </w:pPr>
      <w:r>
        <w:t xml:space="preserve">Le droit de tirage sera conditionné à la validation préalable par le GW des plans d’actions proposés par les villes concernées </w:t>
      </w:r>
      <w:r w:rsidRPr="0039719A">
        <w:rPr>
          <w:u w:val="single"/>
        </w:rPr>
        <w:t>au plus tard le 01/09/2021.</w:t>
      </w:r>
      <w:r>
        <w:t xml:space="preserve"> Chaque ville concernée pourra disposer des moyens nécessaires pour mettre en œuvre sur une période de 4 ans un plan d’actions en respectant strictement les balises suivantes :</w:t>
      </w:r>
    </w:p>
    <w:p w:rsidR="005D50A6" w:rsidRDefault="005D50A6" w:rsidP="002F008B">
      <w:pPr>
        <w:pStyle w:val="Paragraphedeliste"/>
        <w:numPr>
          <w:ilvl w:val="0"/>
          <w:numId w:val="1"/>
        </w:numPr>
        <w:jc w:val="both"/>
      </w:pPr>
      <w:r>
        <w:t>Être approuvé préalablement par le conseil communal ;</w:t>
      </w:r>
    </w:p>
    <w:p w:rsidR="005D50A6" w:rsidRDefault="005D50A6" w:rsidP="002F008B">
      <w:pPr>
        <w:pStyle w:val="Paragraphedeliste"/>
        <w:numPr>
          <w:ilvl w:val="0"/>
          <w:numId w:val="1"/>
        </w:numPr>
        <w:jc w:val="both"/>
      </w:pPr>
      <w:r>
        <w:t>Se conformer aux orientations stratégiques arrêtées par le PST et, le cas échéant, dans leur PDU ;</w:t>
      </w:r>
    </w:p>
    <w:p w:rsidR="005D50A6" w:rsidRDefault="005D50A6" w:rsidP="002F008B">
      <w:pPr>
        <w:pStyle w:val="Paragraphedeliste"/>
        <w:numPr>
          <w:ilvl w:val="0"/>
          <w:numId w:val="1"/>
        </w:numPr>
        <w:jc w:val="both"/>
      </w:pPr>
      <w:r>
        <w:t>Respecter les orientations et les objectifs poursuivis dans la Déclaration de Politique Régionale 2019-2024 en matière de politique intégrée de la ville</w:t>
      </w:r>
      <w:r w:rsidR="004B7FD1">
        <w:t>,</w:t>
      </w:r>
      <w:r>
        <w:t xml:space="preserve"> en lien avec les thématiques développées ci-dessous, ce qui sera précisé, pour chaque action projetée, dans une fiche descriptive ;</w:t>
      </w:r>
    </w:p>
    <w:p w:rsidR="005D50A6" w:rsidRDefault="004B7FD1" w:rsidP="002F008B">
      <w:pPr>
        <w:pStyle w:val="Paragraphedeliste"/>
        <w:numPr>
          <w:ilvl w:val="0"/>
          <w:numId w:val="1"/>
        </w:numPr>
        <w:jc w:val="both"/>
      </w:pPr>
      <w:r>
        <w:t>Indiquer dans le plan d’actions et dans chacune des fiches descriptives les intentions en matière de dépenses d’investissements, de fonctionnement ou de transferts ainsi qu’un planning d’exécution réaliste et précis ;</w:t>
      </w:r>
    </w:p>
    <w:p w:rsidR="004B7FD1" w:rsidRDefault="004B7FD1" w:rsidP="002F008B">
      <w:pPr>
        <w:pStyle w:val="Paragraphedeliste"/>
        <w:numPr>
          <w:ilvl w:val="0"/>
          <w:numId w:val="1"/>
        </w:numPr>
        <w:jc w:val="both"/>
      </w:pPr>
      <w:r>
        <w:t>Affecter une part minimale de 35 % du budget global à des actions spécifiques portant sur la rénovation én</w:t>
      </w:r>
      <w:r w:rsidR="005D42BD">
        <w:t>ergétique ; étant entendu que la</w:t>
      </w:r>
      <w:r>
        <w:t xml:space="preserve"> moitié de cette part sera affectée dans le ou les quartiers visés au « 6. »</w:t>
      </w:r>
      <w:r w:rsidR="000F53CC">
        <w:t xml:space="preserve"> </w:t>
      </w:r>
      <w:r>
        <w:t>par chacune des villes concernées ;</w:t>
      </w:r>
    </w:p>
    <w:p w:rsidR="004B7FD1" w:rsidRDefault="004B7FD1" w:rsidP="002F008B">
      <w:pPr>
        <w:pStyle w:val="Paragraphedeliste"/>
        <w:numPr>
          <w:ilvl w:val="0"/>
          <w:numId w:val="1"/>
        </w:numPr>
        <w:jc w:val="both"/>
      </w:pPr>
      <w:r>
        <w:t>Réserver un pourcentage minimum de 35 % de l’aide totale octroyée à des actions portant spécifiquement sur au moins un quartier considéré comme prioritaire et émergeant d’un processus participatif.</w:t>
      </w:r>
    </w:p>
    <w:p w:rsidR="004B7FD1" w:rsidRDefault="004B7FD1" w:rsidP="002F008B">
      <w:pPr>
        <w:jc w:val="both"/>
      </w:pPr>
      <w:r>
        <w:t>Les dépenses éligibles pourront couvrir l’ensemble du territoire de la Ville, moyennant le respect de la balise vis</w:t>
      </w:r>
      <w:r w:rsidR="000F53CC">
        <w:t>ée au point « 5. » susmentionné</w:t>
      </w:r>
      <w:r>
        <w:t xml:space="preserve"> et seront </w:t>
      </w:r>
      <w:r w:rsidRPr="000F53CC">
        <w:rPr>
          <w:u w:val="single"/>
        </w:rPr>
        <w:t>principalement des dépenses d’investissements</w:t>
      </w:r>
      <w:r>
        <w:t xml:space="preserve"> en lien avec la politique intégrée de la Ville. Des dépenses de fonctionnement et/ou de transfert, à concurrence d’un maximum de 5%, seront toutefois acceptées, eu égard au type de moyens nécessaires pour mener à bien certains projets en lien avec la politique intégrée de la Ville, comme par exemple ceux portant sur le renforcement de la cohésion sociale.</w:t>
      </w:r>
    </w:p>
    <w:p w:rsidR="004B7FD1" w:rsidRDefault="004B7FD1" w:rsidP="002F008B">
      <w:pPr>
        <w:jc w:val="both"/>
      </w:pPr>
      <w:r>
        <w:t>Ces moyens budgétaires nouveaux pourront venir compléter les financements octroyés en application d’autres réglementations en vigueur et dont bénéficient déjà, en tout ou en part</w:t>
      </w:r>
      <w:r w:rsidR="000F53CC">
        <w:t>i</w:t>
      </w:r>
      <w:r>
        <w:t xml:space="preserve">e, certaines des villes, notamment dans le cadre de la politique des grandes villes, du Fonds régional pour les investissements communaux ou encore du dispositif portant sur les enjeux métropolitains, du Plan de Cohésion sociale </w:t>
      </w:r>
      <w:r>
        <w:lastRenderedPageBreak/>
        <w:t>ou encore d’appels à projets, comme par exemple celui portant sur les « Territoire intelligent » dans le cadre de Digital Wallonia.</w:t>
      </w:r>
    </w:p>
    <w:p w:rsidR="006720B9" w:rsidRDefault="006720B9" w:rsidP="002F008B">
      <w:pPr>
        <w:jc w:val="both"/>
      </w:pPr>
      <w:r>
        <w:t xml:space="preserve">Par ailleurs, il est demandé que les plans d’actions soumis par les Villes concernées prévoient un ensemble de dépenses pouvant représenter en part de subsides </w:t>
      </w:r>
      <w:r w:rsidRPr="000F53CC">
        <w:rPr>
          <w:u w:val="single"/>
        </w:rPr>
        <w:t>jusqu’à 130%</w:t>
      </w:r>
      <w:r>
        <w:t xml:space="preserve"> de l’enveloppe octroyée, tout en respectant les critères d’affectation cités ci-après. La Ville pourra ainsi sélectionner, en toute autonomie, en fonction de ses priorités et d’éventuelles contingences de terrain, les projets repris dans son plan d’actions sans devoir revenir devant le Gouvernement en cas de changement de l’un ou l’autre projet prévu initialement.</w:t>
      </w:r>
    </w:p>
    <w:p w:rsidR="006720B9" w:rsidRDefault="006720B9" w:rsidP="002F008B">
      <w:pPr>
        <w:jc w:val="both"/>
      </w:pPr>
      <w:r>
        <w:t xml:space="preserve">Le taux de subsidiation correspondant à l’intervention régionale est fixé à </w:t>
      </w:r>
      <w:r w:rsidRPr="000F53CC">
        <w:rPr>
          <w:u w:val="single"/>
        </w:rPr>
        <w:t>80%</w:t>
      </w:r>
      <w:r>
        <w:t>. Afin de renforcer l’efficacité des actions menées, ce financement pourra être complété par d’autres sources de financement public ou privé. À ce titre, la concentration de différents types de financement au sein de(s) quartier(s) identifié(s) sera encouragée.</w:t>
      </w:r>
    </w:p>
    <w:p w:rsidR="006720B9" w:rsidRDefault="006720B9" w:rsidP="002F008B">
      <w:pPr>
        <w:jc w:val="both"/>
      </w:pPr>
      <w:r>
        <w:t xml:space="preserve">Le droit de tirage de Mons (en fonction de la clé de population au 01/01/20) est pour cette programmation quadriennale : </w:t>
      </w:r>
      <w:r w:rsidRPr="00DD4949">
        <w:rPr>
          <w:u w:val="single"/>
        </w:rPr>
        <w:t>24.482.000 €.</w:t>
      </w:r>
    </w:p>
    <w:p w:rsidR="006720B9" w:rsidRDefault="006720B9" w:rsidP="002F008B">
      <w:pPr>
        <w:jc w:val="both"/>
      </w:pPr>
      <w:r>
        <w:t>La formule proposée rencontre les recommandations de la DPR 2019-2024, laquelle prévoit que « le maximum de subsides d’investissements feront l’objet d’un droit de tirage afin d’en assurer une prévisibilité budgétaire et une simplification administrative » et poursuit en précisant que « les balises d’investissements imposées aux villes et communes seront assouplies et certains investissements seront mis hors balises afin de leur permettre une gestion plus en phase avec leurs besoins et leur rythme d’investissements ». L’ensemble des investissements réalisés dans le cadre de cette politique</w:t>
      </w:r>
      <w:r w:rsidR="00864D21">
        <w:t xml:space="preserve"> seront considérés comme hors balise dans la prochaine circulaire</w:t>
      </w:r>
      <w:r>
        <w:t xml:space="preserve"> budgéta</w:t>
      </w:r>
      <w:r w:rsidR="00864D21">
        <w:t>ire.</w:t>
      </w:r>
    </w:p>
    <w:p w:rsidR="00864D21" w:rsidRPr="00D41496" w:rsidRDefault="00864D21" w:rsidP="002F008B">
      <w:pPr>
        <w:jc w:val="both"/>
      </w:pPr>
      <w:r w:rsidRPr="00D41496">
        <w:t>Cette 1</w:t>
      </w:r>
      <w:r w:rsidRPr="00D41496">
        <w:rPr>
          <w:vertAlign w:val="superscript"/>
        </w:rPr>
        <w:t>ère</w:t>
      </w:r>
      <w:r w:rsidRPr="00D41496">
        <w:t xml:space="preserve"> programmation pilote pourrait en outre, à son terme et en fonction des résultats de l’évaluation qui en sera faite, se pérenniser dans le c</w:t>
      </w:r>
      <w:r w:rsidR="00D41496">
        <w:t>adre d’une modification du CDLD</w:t>
      </w:r>
      <w:r w:rsidRPr="00D41496">
        <w:t>. La période proposée permet un degré de maturation des projets suffisant tout en garantissant une dynamique d’exécution nécessaire à ce type d’opération.</w:t>
      </w:r>
    </w:p>
    <w:p w:rsidR="00864D21" w:rsidRDefault="00864D21" w:rsidP="002F008B">
      <w:pPr>
        <w:jc w:val="both"/>
      </w:pPr>
      <w:r>
        <w:t xml:space="preserve">Le centre universitaire Le Lepur de l’ULiège pourrait accompagner les Villes qui le souhaitent dans l’élaboration de leur plan d’actions en cohérence, d’une part, avec leurs orientations stratégiques arrêtées dans le PST ou dans leur PDU et, d’autre part, avec les orientations </w:t>
      </w:r>
      <w:r w:rsidR="00D328D9">
        <w:t>et objectifs</w:t>
      </w:r>
      <w:r>
        <w:t xml:space="preserve"> </w:t>
      </w:r>
      <w:r w:rsidR="00D328D9">
        <w:t>de la politique intégrée de la ville</w:t>
      </w:r>
      <w:r>
        <w:t>.</w:t>
      </w:r>
    </w:p>
    <w:p w:rsidR="00864D21" w:rsidRDefault="00864D21" w:rsidP="002F008B">
      <w:pPr>
        <w:jc w:val="both"/>
      </w:pPr>
      <w:r>
        <w:t>L’approbation par le Gouvernement du plan d’actions présenté par chacune des Villes concernées se concrétisera dans un arrêté d’octroi de subvention qui reprendra les obligations des bénéficiaires, notamment le respect des priorités régionales en matière de Politique intégrée de la Ville et l’engagement régional d’attribuer les montants promérités durant la totalité de la programmation pluriannuelle.</w:t>
      </w:r>
    </w:p>
    <w:p w:rsidR="001D3CDD" w:rsidRDefault="003C69C4" w:rsidP="002F008B">
      <w:pPr>
        <w:jc w:val="both"/>
      </w:pPr>
      <w:r>
        <w:t>Le contrôle régional portera essentiellement sur :</w:t>
      </w:r>
    </w:p>
    <w:p w:rsidR="003C69C4" w:rsidRDefault="003C69C4" w:rsidP="002F008B">
      <w:pPr>
        <w:pStyle w:val="Paragraphedeliste"/>
        <w:numPr>
          <w:ilvl w:val="0"/>
          <w:numId w:val="2"/>
        </w:numPr>
        <w:jc w:val="both"/>
      </w:pPr>
      <w:r>
        <w:t>Le respect des normes générales relatives aux MP et d’autres réglementations inhérentes aux types d’actions menées sur le terrain ;</w:t>
      </w:r>
    </w:p>
    <w:p w:rsidR="003C69C4" w:rsidRDefault="003C69C4" w:rsidP="002F008B">
      <w:pPr>
        <w:pStyle w:val="Paragraphedeliste"/>
        <w:numPr>
          <w:ilvl w:val="0"/>
          <w:numId w:val="2"/>
        </w:numPr>
        <w:jc w:val="both"/>
      </w:pPr>
      <w:r>
        <w:t>Le respect des critères d’affectation des subsides, tant au niveau des balises (cohérence avec PST, identification d’au moins un quartier prioritaire, min 35% du montant total du subside consacré à la rénovation de ce(s) quartier(s), min 35% du montant total du subside consacré à la rénovation énergétique, la participation citoyenne au cœur du processus d’élaboration de la partie du plan d’actions concernant le(s) quartier(s) identifié(s)), notamment qu’au niveau de la nature des dépenses réalisées (investissements, fonctionnement, transferts) ;</w:t>
      </w:r>
    </w:p>
    <w:p w:rsidR="003C69C4" w:rsidRDefault="003C69C4" w:rsidP="002F008B">
      <w:pPr>
        <w:pStyle w:val="Paragraphedeliste"/>
        <w:numPr>
          <w:ilvl w:val="0"/>
          <w:numId w:val="2"/>
        </w:numPr>
        <w:jc w:val="both"/>
      </w:pPr>
      <w:r>
        <w:t>L’abs</w:t>
      </w:r>
      <w:r w:rsidR="00F778A3">
        <w:t>ence de double subventionnement</w:t>
      </w:r>
      <w:r>
        <w:t>.</w:t>
      </w:r>
    </w:p>
    <w:p w:rsidR="003C69C4" w:rsidRPr="00D41496" w:rsidRDefault="003C69C4" w:rsidP="00D41496">
      <w:pPr>
        <w:pStyle w:val="Titre2"/>
        <w:rPr>
          <w:b/>
          <w:u w:val="single"/>
        </w:rPr>
      </w:pPr>
      <w:r w:rsidRPr="00D41496">
        <w:rPr>
          <w:b/>
          <w:u w:val="single"/>
        </w:rPr>
        <w:t>Exposé du dossier.</w:t>
      </w:r>
    </w:p>
    <w:p w:rsidR="003C69C4" w:rsidRPr="00D41496" w:rsidRDefault="000A0076" w:rsidP="00D41496">
      <w:pPr>
        <w:pStyle w:val="Titre3"/>
        <w:rPr>
          <w:u w:val="single"/>
        </w:rPr>
      </w:pPr>
      <w:r w:rsidRPr="00D41496">
        <w:rPr>
          <w:u w:val="single"/>
        </w:rPr>
        <w:t>La DPR 2019-2024 – Vers une « véritable politique intégrée des villes ».</w:t>
      </w:r>
    </w:p>
    <w:p w:rsidR="000A0076" w:rsidRPr="000A0076" w:rsidRDefault="000A0076" w:rsidP="002F008B">
      <w:pPr>
        <w:jc w:val="both"/>
      </w:pPr>
      <w:r>
        <w:t>DPR = déclaration de politique régionale.</w:t>
      </w:r>
    </w:p>
    <w:p w:rsidR="003C69C4" w:rsidRDefault="000A0076" w:rsidP="002F008B">
      <w:pPr>
        <w:jc w:val="both"/>
      </w:pPr>
      <w:r>
        <w:t>Le Gouvernement favorisera la mise en place d’une politique intégrée des villes, faisant appel aux compétences liées à l’aménagement du territoire et à celles liées au</w:t>
      </w:r>
      <w:r w:rsidR="00C1460E">
        <w:t>x</w:t>
      </w:r>
      <w:r>
        <w:t xml:space="preserve"> programmes régionaux de rénovation et de revitalisation urbaine (avec une attention particulière aux commerces des centres villes). Cette politique intégrée comportera un volet relatif à la politique de mobilité, à la lutte contre le réchauffement climatique, à la préservation de la biodiversité, au renforcement de la nature en ville et de la qualité de l’air et  l’amélioration du cadre de vie des habitants.</w:t>
      </w:r>
    </w:p>
    <w:p w:rsidR="000A0076" w:rsidRDefault="000A0076" w:rsidP="002F008B">
      <w:pPr>
        <w:jc w:val="both"/>
      </w:pPr>
      <w:r>
        <w:t>La DPR poursuit en attribuant spécifiquement à la politique wallonne de la ville les missions suivantes :</w:t>
      </w:r>
    </w:p>
    <w:p w:rsidR="000A0076" w:rsidRDefault="000F5AAF" w:rsidP="002F008B">
      <w:pPr>
        <w:pStyle w:val="Paragraphedeliste"/>
        <w:numPr>
          <w:ilvl w:val="0"/>
          <w:numId w:val="2"/>
        </w:numPr>
        <w:jc w:val="both"/>
      </w:pPr>
      <w:r>
        <w:t>Étudier les mécanismes qui peuvent permettre aux villes, singulièrement aux grandes villes (les villes de plus de 50.000 habitants), de faire face au coût croissant des fonctions qu’elles remplissent au profit du territoire ;</w:t>
      </w:r>
    </w:p>
    <w:p w:rsidR="000F5AAF" w:rsidRDefault="000F5AAF" w:rsidP="002F008B">
      <w:pPr>
        <w:pStyle w:val="Paragraphedeliste"/>
        <w:numPr>
          <w:ilvl w:val="0"/>
          <w:numId w:val="2"/>
        </w:numPr>
        <w:jc w:val="both"/>
      </w:pPr>
      <w:r>
        <w:t>Encourager la concentration des nouveaux projets d’habitat dans les zones bien situées des pôles urbains en poursuivant des objectifs de densité, identifiés dans leur schéma de développement communal, notamment les sites industriels à réaffecter après dépollution et les dents creuses, afin de lutter contre l’étalement urbain ;</w:t>
      </w:r>
    </w:p>
    <w:p w:rsidR="000F5AAF" w:rsidRDefault="000F5AAF" w:rsidP="002F008B">
      <w:pPr>
        <w:pStyle w:val="Paragraphedeliste"/>
        <w:numPr>
          <w:ilvl w:val="0"/>
          <w:numId w:val="2"/>
        </w:numPr>
        <w:jc w:val="both"/>
      </w:pPr>
      <w:r>
        <w:t>Augmenter le nombre et la surface d’espaces verts en zone urbaine afin que chaque citoyen ait accès à un parc ou un espace vert équivalent à moins d’un quart d’heure de marche à pied ;</w:t>
      </w:r>
    </w:p>
    <w:p w:rsidR="000F5AAF" w:rsidRDefault="000F5AAF" w:rsidP="002F008B">
      <w:pPr>
        <w:pStyle w:val="Paragraphedeliste"/>
        <w:numPr>
          <w:ilvl w:val="0"/>
          <w:numId w:val="2"/>
        </w:numPr>
        <w:jc w:val="both"/>
      </w:pPr>
      <w:r>
        <w:t>Envisager des projets de démolition/ reconstruction dans les chancres urbains ou commerciaux qui s’y prêtent ;</w:t>
      </w:r>
    </w:p>
    <w:p w:rsidR="000F5AAF" w:rsidRDefault="000F5AAF" w:rsidP="002F008B">
      <w:pPr>
        <w:pStyle w:val="Paragraphedeliste"/>
        <w:numPr>
          <w:ilvl w:val="0"/>
          <w:numId w:val="2"/>
        </w:numPr>
        <w:jc w:val="both"/>
      </w:pPr>
      <w:r>
        <w:t>Mettre en place de véritables « contrats de quartiers », inspirés de l’expérience bruxelloise, pour permettre aux villes de revitaliser de manière cohérente et dans la durée leurs quartiers en souffrance ;</w:t>
      </w:r>
    </w:p>
    <w:p w:rsidR="000F5AAF" w:rsidRDefault="000F5AAF" w:rsidP="002F008B">
      <w:pPr>
        <w:pStyle w:val="Paragraphedeliste"/>
        <w:numPr>
          <w:ilvl w:val="0"/>
          <w:numId w:val="2"/>
        </w:numPr>
        <w:jc w:val="both"/>
      </w:pPr>
      <w:r>
        <w:t>Insérer dans ces contrats de quartier une dimension relative à l’isolation et à l’énergie afin d’assurer un travail cohérent et concerté géographiquement avec les propriétaires et locataires désireux d’être partenaires ;</w:t>
      </w:r>
    </w:p>
    <w:p w:rsidR="000F5AAF" w:rsidRDefault="000F5AAF" w:rsidP="002F008B">
      <w:pPr>
        <w:pStyle w:val="Paragraphedeliste"/>
        <w:numPr>
          <w:ilvl w:val="0"/>
          <w:numId w:val="2"/>
        </w:numPr>
        <w:jc w:val="both"/>
      </w:pPr>
      <w:r>
        <w:t>Privilégier en matière de commerce les politiques durales de revitalisation des quartiers commerçant</w:t>
      </w:r>
      <w:r w:rsidR="00243D10">
        <w:t>s</w:t>
      </w:r>
      <w:r>
        <w:t xml:space="preserve"> dans les centres urbains (exemple</w:t>
      </w:r>
      <w:r w:rsidR="00243D10">
        <w:t>s</w:t>
      </w:r>
      <w:r>
        <w:t> : rénovation des devantures, soutien aux marchés dont les marchés couverts permanents), avec un modèle de proximité et de mixité commerciale ;</w:t>
      </w:r>
    </w:p>
    <w:p w:rsidR="000F5AAF" w:rsidRDefault="000F5AAF" w:rsidP="002F008B">
      <w:pPr>
        <w:pStyle w:val="Paragraphedeliste"/>
        <w:numPr>
          <w:ilvl w:val="0"/>
          <w:numId w:val="2"/>
        </w:numPr>
        <w:jc w:val="both"/>
      </w:pPr>
      <w:r>
        <w:t xml:space="preserve">Renforcer le soutien au commerce </w:t>
      </w:r>
      <w:r w:rsidR="003D7292">
        <w:t>en</w:t>
      </w:r>
      <w:r>
        <w:t xml:space="preserve"> ville, le cas échéant en adaptant une législation-cadre pour favoriser la mixité commerciale, notamment au moyen de régies commerciales, de pop-up st</w:t>
      </w:r>
      <w:r w:rsidR="003D7292">
        <w:t>ores et de business improvement</w:t>
      </w:r>
      <w:r>
        <w:t xml:space="preserve"> districts ;</w:t>
      </w:r>
    </w:p>
    <w:p w:rsidR="000F5AAF" w:rsidRDefault="000F5AAF" w:rsidP="002F008B">
      <w:pPr>
        <w:pStyle w:val="Paragraphedeliste"/>
        <w:numPr>
          <w:ilvl w:val="0"/>
          <w:numId w:val="2"/>
        </w:numPr>
        <w:jc w:val="both"/>
      </w:pPr>
      <w:r>
        <w:t>Encourager la localisation des commerces de proximité (en particulier les commerces de détail) dans les centres urbains à travers une meilleure concertation au sein des bassins de vie et par le renforcement du schéma régional de développement du commerce ;</w:t>
      </w:r>
    </w:p>
    <w:p w:rsidR="000F5AAF" w:rsidRDefault="000F5AAF" w:rsidP="002F008B">
      <w:pPr>
        <w:pStyle w:val="Paragraphedeliste"/>
        <w:numPr>
          <w:ilvl w:val="0"/>
          <w:numId w:val="2"/>
        </w:numPr>
        <w:jc w:val="both"/>
      </w:pPr>
      <w:r>
        <w:t xml:space="preserve">Engager une politique </w:t>
      </w:r>
      <w:r w:rsidR="00243D10">
        <w:t>visant à réduire au maximum le développement des centres commerciaux de périphérie, notamment à travers un renforcement du schéma régional de développement du commerce ;</w:t>
      </w:r>
    </w:p>
    <w:p w:rsidR="00243D10" w:rsidRDefault="00243D10" w:rsidP="002F008B">
      <w:pPr>
        <w:pStyle w:val="Paragraphedeliste"/>
        <w:numPr>
          <w:ilvl w:val="0"/>
          <w:numId w:val="2"/>
        </w:numPr>
        <w:jc w:val="both"/>
      </w:pPr>
      <w:r>
        <w:t>Consolider le rôle des gestions centre-ville.</w:t>
      </w:r>
    </w:p>
    <w:p w:rsidR="00E771D2" w:rsidRDefault="00E771D2" w:rsidP="002F008B">
      <w:pPr>
        <w:jc w:val="both"/>
      </w:pPr>
      <w:r>
        <w:t xml:space="preserve">De manière plus générale, la mise en œuvre d’une véritable politique intégrée de la ville, telle que prévue dans la DPR 2019-2024, doit permettre de relever un grand nombre de défis en matière économique, sociale ou culturelle, en matière de la sécurité sanitaire, de climat, d’environnement ou encore de mobilité … </w:t>
      </w:r>
      <w:r w:rsidR="001465E3">
        <w:t>Au niveau régional, nous disposons déjà de certains leviers pour agir en la matière mais force est de constater qu’ils pourraient produire plus d’effets, s’ils étaient utilisés de manière d</w:t>
      </w:r>
      <w:r w:rsidR="000B797C">
        <w:t>avantage coordonnée et plus ét</w:t>
      </w:r>
      <w:r w:rsidR="001465E3">
        <w:t>endue ; ces défis ne pouvant se relever qu’à travers une approche globale et intégrée qui unit toutes ces dimensions.</w:t>
      </w:r>
    </w:p>
    <w:p w:rsidR="00C1460E" w:rsidRDefault="00C1460E" w:rsidP="002F008B">
      <w:pPr>
        <w:jc w:val="both"/>
      </w:pPr>
      <w:r>
        <w:t xml:space="preserve">Les grandes lignes de cette politique ont été tracées par la </w:t>
      </w:r>
      <w:r w:rsidR="00665283">
        <w:t>DPR</w:t>
      </w:r>
      <w:r>
        <w:t>. Cette politique inclura la problématique des quartiers et la dynamique de rénovation et de revitalisation urbaines, tout en allant au-delà, pour définir et coordonner les initiatives sectorielles. Elle devra permettre de concentrer, sur base d’un budget qui lui est spécifiquement dédicacé, les moyens attachés à différentes compétences sur les projets qui intègrent des thématiques urbaines de mobilité, de cohésion sociale, de verdurisation et d’aménités des espaces publics, de dynamisation commerciale des entres, de numérisation, de qualité de l’air et globalement, de cadre de vie. Cette politique devra par ailleurs encourager les dynamiques locales de participation citoyenne.</w:t>
      </w:r>
    </w:p>
    <w:p w:rsidR="00DF15F8" w:rsidRDefault="00DF15F8" w:rsidP="002F008B">
      <w:pPr>
        <w:jc w:val="both"/>
      </w:pPr>
      <w:r>
        <w:t>Cette politique coordonnée doit bénéficier en priorité à la population. La qualité de vie en ville doit favoriser leur essor. Les villes doivent s’offrir comme un espace où chacun trouve sa place. Elles doivent porter une dynamique de développement économique durable, tout en renforçant la lutte contre la pauvreté, l’exclusion sociale, les changements climatiques et les problèmes environnementaux.</w:t>
      </w:r>
    </w:p>
    <w:p w:rsidR="006A5AC8" w:rsidRDefault="006A5AC8" w:rsidP="002F008B">
      <w:pPr>
        <w:jc w:val="both"/>
      </w:pPr>
      <w:r>
        <w:t>En ce sens, le Gouvernement de la Wallonie doit se fixer pour objectif de définir et de déployer une politique intégrée de la ville, articulée avec différentes compétences qui y sont associées, et solidement ancrée aux politiques de développement urbain.</w:t>
      </w:r>
    </w:p>
    <w:p w:rsidR="006A5AC8" w:rsidRDefault="006A5AC8" w:rsidP="002F008B">
      <w:pPr>
        <w:jc w:val="both"/>
      </w:pPr>
      <w:r>
        <w:t xml:space="preserve">Le schéma de </w:t>
      </w:r>
      <w:r w:rsidR="00F64DB8">
        <w:t>développement du territoire définit la stratégie territoriale pour la Wallonie.</w:t>
      </w:r>
    </w:p>
    <w:p w:rsidR="00F64DB8" w:rsidRDefault="00F64DB8" w:rsidP="002F008B">
      <w:pPr>
        <w:jc w:val="both"/>
      </w:pPr>
      <w:r>
        <w:t>SS3 : s’appuyer sur la structure multipolaire de la Wallonie. (L’ambition est d’inscrire le développement de chaque territoire dans la dynamique des villes situées dans les communes wallonnes qui rayonnent largement au-delà d’elles-mêmes ou qui concentrent l’emploi. La consolidation des centralités urbaines et rurales contribue à renforcer la structure du territoire).</w:t>
      </w:r>
    </w:p>
    <w:p w:rsidR="00EF4C91" w:rsidRDefault="00EF4C91" w:rsidP="002F008B">
      <w:pPr>
        <w:jc w:val="both"/>
      </w:pPr>
      <w:r>
        <w:t>AM1 : rencontrer les besoins actuels et futurs en logement. (La Wallonie a pour but de lutter contre l’étalement urbain, d’utiliser rationnellement les territoires et les ressources et de maîtriser la mobilité. Ces impératifs doivent guider en priorité les autorités publiques vers les terrains et les bâtiments situés dans les centralités urbaines ou à proximité des points de connexion aux réseaux de transports en commun, tant pour les opérations de rénovation et de revitalisation urbaine que pour le développement de nouveaux quartiers d’habitat. Il convient de tendre vers une implantation de 50% de nouveaux logements dans les centralités urbaines et rurales à l’horizon 2030 et 75% à l’horizon 2050).</w:t>
      </w:r>
    </w:p>
    <w:p w:rsidR="00B04642" w:rsidRDefault="00EF4C91" w:rsidP="002F008B">
      <w:pPr>
        <w:jc w:val="both"/>
      </w:pPr>
      <w:r>
        <w:t>DE1 : assurer l’accès à tous à des services, des commerces de proximité et des équipements. (La localisation des nouveaux services et équipements d’échelle supra-communale doivent être concentrés dans les centralités urbaines et rurales. Les centres commerciaux</w:t>
      </w:r>
      <w:r w:rsidR="00B04642">
        <w:t xml:space="preserve"> doivent être développés en veillant à renforcer les centralités urbaines et non de façon linéaire le long des voiries régionales).</w:t>
      </w:r>
    </w:p>
    <w:p w:rsidR="00B04642" w:rsidRPr="00665283" w:rsidRDefault="00C8017C" w:rsidP="00665283">
      <w:pPr>
        <w:pStyle w:val="Titre3"/>
        <w:rPr>
          <w:u w:val="single"/>
        </w:rPr>
      </w:pPr>
      <w:r w:rsidRPr="00665283">
        <w:rPr>
          <w:u w:val="single"/>
        </w:rPr>
        <w:t>Cadre stratégique pour une politique intégrée de la ville.</w:t>
      </w:r>
    </w:p>
    <w:p w:rsidR="00C8017C" w:rsidRPr="00C8017C" w:rsidRDefault="00C8017C" w:rsidP="00665283">
      <w:pPr>
        <w:pStyle w:val="Titre4"/>
      </w:pPr>
      <w:r w:rsidRPr="00C8017C">
        <w:t>1.La politique des grandes villes et les perspectives de développement urbain</w:t>
      </w:r>
      <w:r w:rsidR="00B16330">
        <w:t xml:space="preserve"> (PDU)</w:t>
      </w:r>
      <w:r w:rsidRPr="00C8017C">
        <w:t>.</w:t>
      </w:r>
    </w:p>
    <w:p w:rsidR="00864D21" w:rsidRDefault="00864D21" w:rsidP="002F008B">
      <w:pPr>
        <w:jc w:val="both"/>
      </w:pPr>
      <w:r>
        <w:t xml:space="preserve"> </w:t>
      </w:r>
      <w:r w:rsidR="00665283">
        <w:br/>
      </w:r>
      <w:r w:rsidR="00B16330">
        <w:t>73 millions sont répartis entre 7 grandes villes wallonnes sur la période 2019-2024.</w:t>
      </w:r>
    </w:p>
    <w:p w:rsidR="00B16330" w:rsidRDefault="00B16330" w:rsidP="002F008B">
      <w:pPr>
        <w:jc w:val="both"/>
      </w:pPr>
      <w:r>
        <w:t xml:space="preserve">Le PDU est l’instrument de mise en œuvre du projet de développement urbain de chaque ville wallonne. </w:t>
      </w:r>
    </w:p>
    <w:p w:rsidR="00B16330" w:rsidRDefault="00B16330" w:rsidP="002F008B">
      <w:pPr>
        <w:jc w:val="both"/>
      </w:pPr>
      <w:r>
        <w:t>À travers ce dispositif, la Wallonie vise à mettre en œuvre des politiques publiques de soutien adaptées aux villes dans certains domaines clefs tels que la cohésion social, la lutte contre la pauvreté, la dynamisation de l’économie locale, l’attractivité, la végétalisation des centres villes, le désengorgement automobile (création de parkings de délestages aux abords des villes par exemples), le renforcement de l’intermodalité et la revitalisation des centres urbains.</w:t>
      </w:r>
    </w:p>
    <w:p w:rsidR="00B16330" w:rsidRDefault="00B16330" w:rsidP="002F008B">
      <w:pPr>
        <w:jc w:val="both"/>
      </w:pPr>
      <w:r>
        <w:t>Le PDU permet aux villes d’identifier les ambitions transversales à déployer au cours de la législature communale. Celles-ci sont choisies sur la base d’une analyse contextuelle opérée au regard des objectifs régionaux suivants :</w:t>
      </w:r>
    </w:p>
    <w:p w:rsidR="00B16330" w:rsidRDefault="00B16330" w:rsidP="002F008B">
      <w:pPr>
        <w:pStyle w:val="Paragraphedeliste"/>
        <w:numPr>
          <w:ilvl w:val="0"/>
          <w:numId w:val="2"/>
        </w:numPr>
        <w:jc w:val="both"/>
      </w:pPr>
      <w:r>
        <w:t>Rendre les villes plus accueillantes ;</w:t>
      </w:r>
    </w:p>
    <w:p w:rsidR="00B16330" w:rsidRDefault="00B16330" w:rsidP="002F008B">
      <w:pPr>
        <w:pStyle w:val="Paragraphedeliste"/>
        <w:numPr>
          <w:ilvl w:val="0"/>
          <w:numId w:val="2"/>
        </w:numPr>
        <w:jc w:val="both"/>
      </w:pPr>
      <w:r>
        <w:t>Faire des villes un vecteur de mieux vivre ensemble et de solidarité ;</w:t>
      </w:r>
    </w:p>
    <w:p w:rsidR="00B16330" w:rsidRDefault="00B16330" w:rsidP="002F008B">
      <w:pPr>
        <w:pStyle w:val="Paragraphedeliste"/>
        <w:numPr>
          <w:ilvl w:val="0"/>
          <w:numId w:val="2"/>
        </w:numPr>
        <w:jc w:val="both"/>
      </w:pPr>
      <w:r>
        <w:t>Encourager la reconstruction de la ville sur la ville ;</w:t>
      </w:r>
    </w:p>
    <w:p w:rsidR="00B16330" w:rsidRDefault="00B16330" w:rsidP="002F008B">
      <w:pPr>
        <w:pStyle w:val="Paragraphedeliste"/>
        <w:numPr>
          <w:ilvl w:val="0"/>
          <w:numId w:val="2"/>
        </w:numPr>
        <w:jc w:val="both"/>
      </w:pPr>
      <w:r>
        <w:t>Privilégier un logement et un cadre de vie de qualité ;</w:t>
      </w:r>
    </w:p>
    <w:p w:rsidR="00B16330" w:rsidRDefault="00B16330" w:rsidP="002F008B">
      <w:pPr>
        <w:pStyle w:val="Paragraphedeliste"/>
        <w:numPr>
          <w:ilvl w:val="0"/>
          <w:numId w:val="2"/>
        </w:numPr>
        <w:jc w:val="both"/>
      </w:pPr>
      <w:r>
        <w:t>Offrir un réseau d’espaces publics attractifs, en ce compris d’espaces verts ;</w:t>
      </w:r>
    </w:p>
    <w:p w:rsidR="00B16330" w:rsidRDefault="00B16330" w:rsidP="002F008B">
      <w:pPr>
        <w:pStyle w:val="Paragraphedeliste"/>
        <w:numPr>
          <w:ilvl w:val="0"/>
          <w:numId w:val="2"/>
        </w:numPr>
        <w:jc w:val="both"/>
      </w:pPr>
      <w:r>
        <w:t>Faire des villes un moteur du redéploiement économique ;</w:t>
      </w:r>
    </w:p>
    <w:p w:rsidR="00B16330" w:rsidRDefault="00B16330" w:rsidP="002F008B">
      <w:pPr>
        <w:pStyle w:val="Paragraphedeliste"/>
        <w:numPr>
          <w:ilvl w:val="0"/>
          <w:numId w:val="2"/>
        </w:numPr>
        <w:jc w:val="both"/>
      </w:pPr>
      <w:r>
        <w:t>Créer des villes intelligentes.</w:t>
      </w:r>
    </w:p>
    <w:p w:rsidR="00D455AE" w:rsidRDefault="00D455AE" w:rsidP="002F008B">
      <w:pPr>
        <w:jc w:val="both"/>
      </w:pPr>
      <w:r>
        <w:t>Les ambitions des villes seront traduites par des actions concrètes à mettre en œuvre selon leur degré de maturité, spécialement dans les quartiers prioritaires.</w:t>
      </w:r>
    </w:p>
    <w:p w:rsidR="00D455AE" w:rsidRPr="00D455AE" w:rsidRDefault="00D455AE" w:rsidP="002F008B">
      <w:pPr>
        <w:pStyle w:val="Paragraphedeliste"/>
        <w:numPr>
          <w:ilvl w:val="0"/>
          <w:numId w:val="3"/>
        </w:numPr>
        <w:jc w:val="both"/>
        <w:rPr>
          <w:u w:val="single"/>
        </w:rPr>
      </w:pPr>
      <w:r w:rsidRPr="00D455AE">
        <w:rPr>
          <w:u w:val="single"/>
        </w:rPr>
        <w:t>Évolution du dispositif et pistes d’amélioration de la PDU.</w:t>
      </w:r>
    </w:p>
    <w:p w:rsidR="00D455AE" w:rsidRDefault="00D455AE" w:rsidP="002F008B">
      <w:pPr>
        <w:jc w:val="both"/>
      </w:pPr>
      <w:r>
        <w:t>Le pôle préconise que l’analyse contextuelle soit rédigée en amont du Conseil communal, et ce afin de laisser plus de temps pour la définition des ambitions, des quartiers prioritaires et des actions à mener.</w:t>
      </w:r>
    </w:p>
    <w:p w:rsidR="00D455AE" w:rsidRDefault="00D455AE" w:rsidP="002F008B">
      <w:pPr>
        <w:jc w:val="both"/>
      </w:pPr>
      <w:r>
        <w:t>Concernant les quartiers prioritaires, ceux-ci doivent être délimités et justifiés, notamment au regard des piliers du développement durable.</w:t>
      </w:r>
    </w:p>
    <w:p w:rsidR="00D455AE" w:rsidRDefault="00193D9B" w:rsidP="002F008B">
      <w:pPr>
        <w:jc w:val="both"/>
      </w:pPr>
      <w:r>
        <w:t xml:space="preserve">Le pôle souhaiterait que le contenu minimum de la PDU soit modifié en vue d’intégrer les éléments suivants : </w:t>
      </w:r>
    </w:p>
    <w:p w:rsidR="00193D9B" w:rsidRDefault="00193D9B" w:rsidP="002F008B">
      <w:pPr>
        <w:pStyle w:val="Paragraphedeliste"/>
        <w:numPr>
          <w:ilvl w:val="0"/>
          <w:numId w:val="2"/>
        </w:numPr>
        <w:jc w:val="both"/>
      </w:pPr>
      <w:r>
        <w:t>Les liens entre le territoire communal et celui des communes voisines ;</w:t>
      </w:r>
    </w:p>
    <w:p w:rsidR="00193D9B" w:rsidRDefault="00193D9B" w:rsidP="002F008B">
      <w:pPr>
        <w:pStyle w:val="Paragraphedeliste"/>
        <w:numPr>
          <w:ilvl w:val="0"/>
          <w:numId w:val="2"/>
        </w:numPr>
        <w:jc w:val="both"/>
      </w:pPr>
      <w:r>
        <w:t>Les liens entre la PDU et les autres outils d’aménagement opérationnel mis en place au niveau communal ;</w:t>
      </w:r>
    </w:p>
    <w:p w:rsidR="00193D9B" w:rsidRDefault="00193D9B" w:rsidP="002F008B">
      <w:pPr>
        <w:pStyle w:val="Paragraphedeliste"/>
        <w:numPr>
          <w:ilvl w:val="0"/>
          <w:numId w:val="2"/>
        </w:numPr>
        <w:jc w:val="both"/>
      </w:pPr>
      <w:r>
        <w:t>Un bilan de la politique des grandes villes en cours sur le territoire communal.</w:t>
      </w:r>
    </w:p>
    <w:p w:rsidR="00E33DE3" w:rsidRPr="00E33DE3" w:rsidRDefault="00E33DE3" w:rsidP="002F008B">
      <w:pPr>
        <w:jc w:val="both"/>
      </w:pPr>
      <w:r>
        <w:t>La DAOV de DG TLPE est chargée de formuler, avant la fin du 1</w:t>
      </w:r>
      <w:r w:rsidRPr="00E33DE3">
        <w:rPr>
          <w:vertAlign w:val="superscript"/>
        </w:rPr>
        <w:t>er</w:t>
      </w:r>
      <w:r>
        <w:t xml:space="preserve"> semestre 2021, des propositions relatives tant à la modification de la réglementation actuellement en vigueur qu’aux mesures administratives à prendre, en vue de répondre aux recommandations formulées par le pôle « aménagement du territoire » du CESE et aux engagements de la DPR.</w:t>
      </w:r>
    </w:p>
    <w:p w:rsidR="00193D9B" w:rsidRPr="00D84A7C" w:rsidRDefault="008D7F58" w:rsidP="00D84A7C">
      <w:pPr>
        <w:pStyle w:val="Titre4"/>
        <w:rPr>
          <w:u w:val="single"/>
        </w:rPr>
      </w:pPr>
      <w:r w:rsidRPr="00D84A7C">
        <w:rPr>
          <w:u w:val="single"/>
        </w:rPr>
        <w:t>2.Simplifier et dynamiser les outils permettant le Développement urbain.</w:t>
      </w:r>
    </w:p>
    <w:p w:rsidR="00E33DE3" w:rsidRDefault="00E33DE3" w:rsidP="002F008B">
      <w:pPr>
        <w:jc w:val="both"/>
      </w:pPr>
      <w:r>
        <w:t>Pour redonner un certain dynamisme et susciter un regain d’intérêt pour l’outil Rénovation Urbaine, nous proposons de le réorienter en insistant davantage sur la démarche « projet de quartier », c’est-à-dire l’élaboration participative d’</w:t>
      </w:r>
      <w:r w:rsidR="00441134">
        <w:t>u</w:t>
      </w:r>
      <w:r>
        <w:t>n projet de territoire, avec des objectifs et des moyens de mise en œuvre clairement définis, sans pour autant se focaliser sur des fiches actions qui pourraient être précisées par la suite, en fonction des moyens disponibles et des opportunités de montages financiers alternatifs.</w:t>
      </w:r>
    </w:p>
    <w:p w:rsidR="00E33DE3" w:rsidRDefault="00E33DE3" w:rsidP="002F008B">
      <w:pPr>
        <w:jc w:val="both"/>
      </w:pPr>
      <w:r>
        <w:t>Dans un souci de simplification et de dynamisation des outils existants en rénovation et en revitalisation</w:t>
      </w:r>
      <w:r w:rsidR="00897249">
        <w:t xml:space="preserve"> urbaines, la DAOV est chargée</w:t>
      </w:r>
      <w:r>
        <w:t xml:space="preserve"> de formuler, dans le courant de 1</w:t>
      </w:r>
      <w:r w:rsidRPr="00E33DE3">
        <w:rPr>
          <w:vertAlign w:val="superscript"/>
        </w:rPr>
        <w:t>er</w:t>
      </w:r>
      <w:r>
        <w:t xml:space="preserve"> semestre 2021, des propositions d’amélioration des dispositifs de rénovation et de revitalisation urbaines et ce, tant au niveau réglementaire qu’au niveau de l’accompagnement administratif des bénéficiaires.</w:t>
      </w:r>
    </w:p>
    <w:p w:rsidR="00E33DE3" w:rsidRDefault="00E33DE3" w:rsidP="002F008B">
      <w:pPr>
        <w:jc w:val="both"/>
      </w:pPr>
      <w:r>
        <w:t xml:space="preserve">Dans l’attente de l’entrée en vigueur de cette nouvelle réglementation et ensuite, les villes </w:t>
      </w:r>
      <w:r w:rsidR="002D13AB">
        <w:t>bénéficiaires de l’opération visée au point 11 ci-dessous ne pourront déposer de nouveaux projets s’inscrivant dans les dispositifs de rénovation ou de revitalisation urbaine existants.</w:t>
      </w:r>
    </w:p>
    <w:p w:rsidR="003F720A" w:rsidRDefault="003F720A" w:rsidP="002F008B">
      <w:pPr>
        <w:jc w:val="both"/>
      </w:pPr>
      <w:r>
        <w:t>Par ailleurs, une majoration de l’enveloppe actuellement disponible en Réno/Revi étant en outre envisagée pour la période 2021-2024 à destination des communs ne bénéficiant pas de l’aide précitée, pour atteindre au total pour cette période un montant de 109 millions.</w:t>
      </w:r>
    </w:p>
    <w:p w:rsidR="00FA3CF7" w:rsidRPr="00D84A7C" w:rsidRDefault="00D84A7C" w:rsidP="00D84A7C">
      <w:pPr>
        <w:pStyle w:val="Titre4"/>
        <w:rPr>
          <w:u w:val="single"/>
        </w:rPr>
      </w:pPr>
      <w:r>
        <w:rPr>
          <w:u w:val="single"/>
        </w:rPr>
        <w:t>3.</w:t>
      </w:r>
      <w:r w:rsidR="00FA3CF7" w:rsidRPr="00D84A7C">
        <w:rPr>
          <w:u w:val="single"/>
        </w:rPr>
        <w:t>Compétences liées dans le cadre d’une politique intégrée de la Ville.</w:t>
      </w:r>
    </w:p>
    <w:p w:rsidR="00FA3CF7" w:rsidRPr="00FA3CF7" w:rsidRDefault="00FA3CF7" w:rsidP="002F008B">
      <w:pPr>
        <w:pStyle w:val="Paragraphedeliste"/>
        <w:numPr>
          <w:ilvl w:val="0"/>
          <w:numId w:val="4"/>
        </w:numPr>
        <w:jc w:val="both"/>
        <w:rPr>
          <w:u w:val="single"/>
        </w:rPr>
      </w:pPr>
      <w:r w:rsidRPr="00FA3CF7">
        <w:rPr>
          <w:u w:val="single"/>
        </w:rPr>
        <w:t>Développement des quartiers prioritaires.</w:t>
      </w:r>
    </w:p>
    <w:p w:rsidR="00491BE0" w:rsidRDefault="00491BE0" w:rsidP="002F008B">
      <w:pPr>
        <w:jc w:val="both"/>
      </w:pPr>
      <w:r>
        <w:t>La CPDT formule au sujet du dispositif « Rénovation urbaine », en lien avec le développement des quartiers, les recommandations suivantes :</w:t>
      </w:r>
    </w:p>
    <w:p w:rsidR="00491BE0" w:rsidRDefault="00491BE0" w:rsidP="002F008B">
      <w:pPr>
        <w:pStyle w:val="Paragraphedeliste"/>
        <w:numPr>
          <w:ilvl w:val="0"/>
          <w:numId w:val="2"/>
        </w:numPr>
        <w:jc w:val="both"/>
      </w:pPr>
      <w:r>
        <w:t>Recentrer l’outil RU en priorité sur l’élaboration d’un « projet de quartier » en associant l’ensemble des forces vives : les opérateurs publics ou parapublics actifs sur le quartier (émanant non seulement des politiques d’aménagement, mais aussi des politiques sociales et de sécurité, ainsi que des politiques économiques), les acteurs associatifs et les citoyens ;</w:t>
      </w:r>
    </w:p>
    <w:p w:rsidR="00491BE0" w:rsidRDefault="00491BE0" w:rsidP="002F008B">
      <w:pPr>
        <w:pStyle w:val="Paragraphedeliste"/>
        <w:numPr>
          <w:ilvl w:val="0"/>
          <w:numId w:val="2"/>
        </w:numPr>
        <w:jc w:val="both"/>
      </w:pPr>
      <w:r>
        <w:t>Permettre à ce « projet de quartier » d’évoluer au gré des opportunités et modifications du contexte global ou local en mettant en place les procédures démocratiques et participatives permettant de faire évoluer collectivement le projet de quartier ;</w:t>
      </w:r>
    </w:p>
    <w:p w:rsidR="00491BE0" w:rsidRDefault="00491BE0" w:rsidP="002F008B">
      <w:pPr>
        <w:pStyle w:val="Paragraphedeliste"/>
        <w:numPr>
          <w:ilvl w:val="0"/>
          <w:numId w:val="2"/>
        </w:numPr>
        <w:jc w:val="both"/>
      </w:pPr>
      <w:r>
        <w:t xml:space="preserve">Autant que possible, concentrer le budget de la RU </w:t>
      </w:r>
      <w:r w:rsidR="00F866D6">
        <w:t>sur les quartiers prioritaires. Plusieurs solutions sont envisageables : réservation de l’outil RU exclusivement pour les quartiers prioritaires, majoration des budgets et/ou taux de financement des projets RU dans ces quartiers, facilitation des procédures RU dans le cadre du PDU, …</w:t>
      </w:r>
    </w:p>
    <w:p w:rsidR="00F866D6" w:rsidRDefault="00F866D6" w:rsidP="002F008B">
      <w:pPr>
        <w:pStyle w:val="Paragraphedeliste"/>
        <w:numPr>
          <w:ilvl w:val="0"/>
          <w:numId w:val="2"/>
        </w:numPr>
        <w:jc w:val="both"/>
      </w:pPr>
      <w:r>
        <w:t>Revoir les critères de financement et permettre le financement d’actions relativement peu coûteuses en comparaison avec des projets d’infrastructures lourdes (logement, réaménagement complet d’espaces publics, …) mais qui sont pourtant susceptibles de produire des effets importants en termes d’attractivité urbaine (meilleur rapport coûts-bénéfices). Par exemple, il pourrait être intéressant </w:t>
      </w:r>
      <w:r w:rsidR="0054112C">
        <w:t>de :</w:t>
      </w:r>
    </w:p>
    <w:p w:rsidR="0054112C" w:rsidRDefault="0054112C" w:rsidP="002F008B">
      <w:pPr>
        <w:pStyle w:val="Paragraphedeliste"/>
        <w:numPr>
          <w:ilvl w:val="0"/>
          <w:numId w:val="13"/>
        </w:numPr>
        <w:jc w:val="both"/>
      </w:pPr>
      <w:r>
        <w:t>Pouvoir accorder des subsides aux commerçants qui rénovent leur devanture dans le cadre d’un réflexion collective portée par les acteurs du quartier ;</w:t>
      </w:r>
    </w:p>
    <w:p w:rsidR="0054112C" w:rsidRDefault="0054112C" w:rsidP="002F008B">
      <w:pPr>
        <w:pStyle w:val="Paragraphedeliste"/>
        <w:numPr>
          <w:ilvl w:val="0"/>
          <w:numId w:val="13"/>
        </w:numPr>
        <w:jc w:val="both"/>
      </w:pPr>
      <w:r>
        <w:t>Pouvoir financer d’autres types d’actions collectives visant l’amélioration du cadre de vie à l’échelle d’une rue (par exemple : des actions de végétalisation) ;</w:t>
      </w:r>
    </w:p>
    <w:p w:rsidR="0054112C" w:rsidRDefault="0054112C" w:rsidP="002F008B">
      <w:pPr>
        <w:pStyle w:val="Paragraphedeliste"/>
        <w:numPr>
          <w:ilvl w:val="0"/>
          <w:numId w:val="13"/>
        </w:numPr>
        <w:jc w:val="both"/>
      </w:pPr>
      <w:r>
        <w:t>Pouvoir financer des actions d’embellissement du cadre de vie émanant directement des citoyens.</w:t>
      </w:r>
    </w:p>
    <w:p w:rsidR="0054112C" w:rsidRDefault="0054112C" w:rsidP="002F008B">
      <w:pPr>
        <w:pStyle w:val="Paragraphedeliste"/>
        <w:numPr>
          <w:ilvl w:val="0"/>
          <w:numId w:val="2"/>
        </w:numPr>
        <w:jc w:val="both"/>
      </w:pPr>
      <w:r>
        <w:t xml:space="preserve">Pour que l’outil RU joue pleinement son rôle d’entraînement et favorise une dynamique de réinvestissement privé dans les quartiers, le facteur « temps » est essentiel : les </w:t>
      </w:r>
      <w:r w:rsidR="00AC5E92">
        <w:t xml:space="preserve">citoyens ont besoin de voir que les choses bougent dans ces quartiers et pour cela, les acteurs locaux doivent pouvoir mettre en œuvre </w:t>
      </w:r>
      <w:r w:rsidR="002B189E">
        <w:t>des actions et projets « visibles » plus rapidement qu’à l’heure actuelle, y compris des actions et des projets de plus petite ampleur mais pouvant produire un effet levier décisif en termes d’image et d’attractivité de ces quartiers.</w:t>
      </w:r>
    </w:p>
    <w:p w:rsidR="008D7F58" w:rsidRDefault="003216B5" w:rsidP="002F008B">
      <w:pPr>
        <w:jc w:val="both"/>
      </w:pPr>
      <w:r>
        <w:t>Les quartiers urbains identifiés comme prioritaires présentent des difficultés qui peuvent varier de l’un à l’autre. Certains souffrent davantage d’un bâti dégradé, d’aucuns témoignent surtout d’un contexte sociale défavorable, d’autres pâtissent d’un contexte économique déprimé, et certains combinent plusieurs de ces difficultés. Dès lors, les acteurs locaux de la Politique wallonne de la Ville (PWV) doivent pouvoir mobiliser les outils et opérateurs appropriés parmi la palette disponible, en fonction du contexte spécifique à chaque quartier.</w:t>
      </w:r>
      <w:r w:rsidR="00CC2031">
        <w:t xml:space="preserve"> Il existe d’ores et déjà de nombreux outils </w:t>
      </w:r>
      <w:r w:rsidR="00C42112">
        <w:t>et opérateurs actifs sur les villes et les quartiers urbains wallons, qui relèvent principalement des 3 grands types de politiques : les politiques d’aménagement, les politiques sociales (y compris de prévention et de sécurité) et les politiques économiques.</w:t>
      </w:r>
    </w:p>
    <w:p w:rsidR="00C42112" w:rsidRDefault="00C42112" w:rsidP="002F008B">
      <w:pPr>
        <w:jc w:val="both"/>
      </w:pPr>
      <w:r>
        <w:t xml:space="preserve">Pour qu’une véritable politique wallonne de la Ville puisse émerger au départ de cette constellation préexistante, c’est-à-dire une politique qui soutient un développement cohérent, intégré et durable des quartiers identifiés comme prioritaires, les principaux défis sont : </w:t>
      </w:r>
    </w:p>
    <w:p w:rsidR="00C42112" w:rsidRDefault="00C42112" w:rsidP="002F008B">
      <w:pPr>
        <w:pStyle w:val="Paragraphedeliste"/>
        <w:numPr>
          <w:ilvl w:val="0"/>
          <w:numId w:val="5"/>
        </w:numPr>
        <w:jc w:val="both"/>
      </w:pPr>
      <w:r>
        <w:t>Rassembler les outils et opérateurs existants autour d’un « projet de quartier », qui peut être co-construit via la « rénovation urbaine » (dont le rôle principal serait recentré autour de cette démarche de réflexion et de « planification » collective, en y associant aussi les citoyens et d’autres acteurs de la société civile). Ce « projet de quartier » devra nécessairement s’intégrer dans le « projet de ville » (PST ou PDU) et, tout comme celui-ci, chercher à rencontrer les objectifs stratégiques de la PWV.</w:t>
      </w:r>
    </w:p>
    <w:p w:rsidR="00C42112" w:rsidRDefault="00C42112" w:rsidP="002F008B">
      <w:pPr>
        <w:pStyle w:val="Paragraphedeliste"/>
        <w:numPr>
          <w:ilvl w:val="0"/>
          <w:numId w:val="5"/>
        </w:numPr>
        <w:jc w:val="both"/>
      </w:pPr>
      <w:r>
        <w:t>Faire évoluer ces outils et opérateurs ainsi que leur mode de fonctionnement de manière à permettre une diversification des modes d’action et des leviers mobilisés pour soutenir le développement des quartiers. Il s’agit de privilégier, complémentairement au financement de projets d’infrastructures lourdes (logements, espaces publics, bâtiments à vocation économique)</w:t>
      </w:r>
      <w:r w:rsidR="00830FF1">
        <w:t>, d’autres formes d’interventions dont le rapport coût-bénéfices et la plus grande rapidité de mise en œuvre peuvent être intéressants dans un contexte de raréfaction des ressources financières :</w:t>
      </w:r>
    </w:p>
    <w:p w:rsidR="00830FF1" w:rsidRDefault="00830FF1" w:rsidP="002F008B">
      <w:pPr>
        <w:pStyle w:val="Paragraphedeliste"/>
        <w:ind w:left="1416"/>
        <w:jc w:val="both"/>
      </w:pPr>
      <w:r>
        <w:t xml:space="preserve">- incitants </w:t>
      </w:r>
      <w:r w:rsidR="00542B55">
        <w:t>et mesures de discrimination positive en faveur des quartiers prioritaires et des acteurs (publics, privés, citoyens, …) qui décident d’y investir ;</w:t>
      </w:r>
    </w:p>
    <w:p w:rsidR="00542B55" w:rsidRDefault="00542B55" w:rsidP="002F008B">
      <w:pPr>
        <w:pStyle w:val="Paragraphedeliste"/>
        <w:ind w:left="1416"/>
        <w:jc w:val="both"/>
      </w:pPr>
      <w:r>
        <w:t>- actions d’« empowerment » (destinées à encourager et soutenir les acteurs de la société civile qui décident de « s’investir » pour le développement de leur quartier) ;</w:t>
      </w:r>
    </w:p>
    <w:p w:rsidR="00542B55" w:rsidRDefault="00542B55" w:rsidP="002F008B">
      <w:pPr>
        <w:pStyle w:val="Paragraphedeliste"/>
        <w:ind w:left="1416"/>
        <w:jc w:val="both"/>
      </w:pPr>
      <w:r>
        <w:t>- actions d’animation et branding/communication (urbanisme « intangible »).</w:t>
      </w:r>
    </w:p>
    <w:p w:rsidR="00542B55" w:rsidRDefault="00542B55" w:rsidP="002F008B">
      <w:pPr>
        <w:pStyle w:val="Paragraphedeliste"/>
        <w:numPr>
          <w:ilvl w:val="0"/>
          <w:numId w:val="6"/>
        </w:numPr>
        <w:jc w:val="both"/>
      </w:pPr>
      <w:r>
        <w:t>Assurer une coordination au long cours des outils et opérateurs actifs à l’échelle d’un quartier, afin qu’ils travaillent de concert à un développement cohérent, intégré et durable de ce quartier.</w:t>
      </w:r>
    </w:p>
    <w:p w:rsidR="00542B55" w:rsidRDefault="00542B55" w:rsidP="002F008B">
      <w:pPr>
        <w:pStyle w:val="Paragraphedeliste"/>
        <w:jc w:val="both"/>
      </w:pPr>
      <w:r>
        <w:t>L’organisation effective de cette coordination nécessite : (1) un « pilote » à l’échelle du quartier ; (2) un lieu unique et accessible au public rassemblant les différents outils et opérateurs ; (3) des échanges réguliers entre les opérateurs agissant sur un même quartier et (4) une mutualisation des résultats produits par les diverses dynamiques et actions menées dans le quartier.</w:t>
      </w:r>
    </w:p>
    <w:p w:rsidR="00542B55" w:rsidRDefault="00542B55" w:rsidP="002F008B">
      <w:pPr>
        <w:pStyle w:val="Paragraphedeliste"/>
        <w:numPr>
          <w:ilvl w:val="0"/>
          <w:numId w:val="6"/>
        </w:numPr>
        <w:jc w:val="both"/>
      </w:pPr>
      <w:r>
        <w:t>Assurer sur le long terme une mise en réseau, un accompagnement et une formation des outils/opérateurs de la PWV via la création d’un « Centre de ressources et de compétences » au sein de l’administration régionale.</w:t>
      </w:r>
    </w:p>
    <w:p w:rsidR="00542B55" w:rsidRDefault="00542B55" w:rsidP="002F008B">
      <w:pPr>
        <w:jc w:val="both"/>
      </w:pPr>
    </w:p>
    <w:p w:rsidR="00F778A3" w:rsidRPr="00F778A3" w:rsidRDefault="00F778A3" w:rsidP="002F008B">
      <w:pPr>
        <w:pStyle w:val="Paragraphedeliste"/>
        <w:numPr>
          <w:ilvl w:val="0"/>
          <w:numId w:val="4"/>
        </w:numPr>
        <w:jc w:val="both"/>
        <w:rPr>
          <w:b/>
          <w:bCs/>
          <w:u w:val="single"/>
        </w:rPr>
      </w:pPr>
      <w:r w:rsidRPr="00F778A3">
        <w:rPr>
          <w:b/>
          <w:bCs/>
          <w:u w:val="single"/>
        </w:rPr>
        <w:t>Rénovation énergétique à l’échelle de la ville et/ou par quartiers.</w:t>
      </w:r>
    </w:p>
    <w:p w:rsidR="00F778A3" w:rsidRDefault="00F778A3" w:rsidP="002F008B">
      <w:pPr>
        <w:jc w:val="both"/>
      </w:pPr>
      <w:r>
        <w:t>La DPR 2019-2024 souligne plusieurs actions à mettre en œuvre durant la législature pour favoriser le déploiement de projets de rénovation énergétique de quartiers dans les villes, tant au niveau de l’efficacité énergétique que de la production d’énergies renouvelables.</w:t>
      </w:r>
    </w:p>
    <w:p w:rsidR="00F778A3" w:rsidRDefault="00F778A3" w:rsidP="002F008B">
      <w:pPr>
        <w:jc w:val="both"/>
      </w:pPr>
      <w:r>
        <w:t>Des mécanismes d’encouragement et des expériences pilotes seront mis en œuvre, notamment quant à la rénovation simultanée de quartiers entiers ou la démolition/reconstruction de logements vétustes et difficiles à isoler efficacement ou à la rénovation de bâtiments publics phares (logements sociaux, écoles, administrations, …).</w:t>
      </w:r>
    </w:p>
    <w:p w:rsidR="00F778A3" w:rsidRDefault="00F778A3" w:rsidP="002F008B">
      <w:pPr>
        <w:jc w:val="both"/>
      </w:pPr>
      <w:r>
        <w:t>Le Gouvernement encouragera les coopératives actives dans les économies d’énergie, la production renouvelable partagée et les moyens de stockage collectifs ou de gestion de l’énergie à l’échelle d’une communauté territoriale ou d’un quartier, regroupant les acteurs publics locaux, les PME et les citoyens, afin que la collectivité se réapproprie la maîtrise de l’énergie.</w:t>
      </w:r>
    </w:p>
    <w:p w:rsidR="00F778A3" w:rsidRDefault="00F778A3" w:rsidP="002F008B">
      <w:pPr>
        <w:jc w:val="both"/>
      </w:pPr>
      <w:r>
        <w:t>Pour réattirer la population au cœur des villes, il est indispensable de privilégier une stratégie de réhabilitation urbaine basée sur l’amélioration de l’espace public et de l’environnement urbain global, en complément de la rénovation de l’habitat et des bâtiments publics.</w:t>
      </w:r>
    </w:p>
    <w:p w:rsidR="00F778A3" w:rsidRDefault="00F778A3" w:rsidP="002F008B">
      <w:pPr>
        <w:jc w:val="both"/>
      </w:pPr>
      <w:r>
        <w:t>La revitalisation dépend d’un ensemble de conditions qui gagnent à être considérées simultanément (éclairage public, trottoirs, mobilité douce protégée des voitures, logements à rénover, magasins, écoles, espaces verts, bureaux, …</w:t>
      </w:r>
    </w:p>
    <w:p w:rsidR="00F778A3" w:rsidRDefault="00F778A3" w:rsidP="002F008B">
      <w:pPr>
        <w:jc w:val="both"/>
      </w:pPr>
      <w:r>
        <w:t>Un accent particulier sera mis sur la rénovation énergétique et la salubrité du bâti, qu’il s’agisse de logements ou de bâtiments publics. Les normes actuelles seront respectées et dépassées lorsque cela est possible. L’utilisation de matériaux de circuit court, de sources renouvelables, recyclables sera encouragée. L’intervention d’entreprises et d’artisans locaux est souhaitée. Un niveau PEB A en moyenne est visé pour les logements et la neutralité carbone est de mise pour les bâtiments tertiaires, avec des productions d’énergie renouvelable pour satisfaire les besoins résiduels en énergie des bâtiments rénovés.</w:t>
      </w:r>
    </w:p>
    <w:p w:rsidR="00F778A3" w:rsidRDefault="00F778A3" w:rsidP="002F008B">
      <w:pPr>
        <w:jc w:val="both"/>
      </w:pPr>
      <w:r>
        <w:t>La participation active de toutes et tous est recherchée, propriétaires, locataires ou utilisateurs occasionnels des installations.</w:t>
      </w:r>
    </w:p>
    <w:p w:rsidR="00F778A3" w:rsidRDefault="00F778A3" w:rsidP="002F008B">
      <w:pPr>
        <w:jc w:val="both"/>
      </w:pPr>
      <w:r>
        <w:t>Une attention sera apportée aux projets coopératifs de production collective d’énergie renouvelable à l’échelle de quartiers. L’objectif est de susciter la mise en action coopérative associant des acteurs publics et privés.</w:t>
      </w:r>
    </w:p>
    <w:p w:rsidR="00F778A3" w:rsidRPr="008A0022" w:rsidRDefault="00F778A3" w:rsidP="008A0022">
      <w:pPr>
        <w:pStyle w:val="Paragraphedeliste"/>
        <w:numPr>
          <w:ilvl w:val="0"/>
          <w:numId w:val="4"/>
        </w:numPr>
        <w:jc w:val="both"/>
        <w:rPr>
          <w:u w:val="single"/>
        </w:rPr>
      </w:pPr>
      <w:r w:rsidRPr="008A0022">
        <w:rPr>
          <w:u w:val="single"/>
        </w:rPr>
        <w:t>Cohésion sociale.</w:t>
      </w:r>
    </w:p>
    <w:p w:rsidR="00F778A3" w:rsidRDefault="00F778A3" w:rsidP="002F008B">
      <w:pPr>
        <w:jc w:val="both"/>
      </w:pPr>
      <w:r>
        <w:t>La DPR 2019-2024 formule beaucoup de recommandations, notamment :</w:t>
      </w:r>
    </w:p>
    <w:p w:rsidR="00F778A3" w:rsidRDefault="00F778A3" w:rsidP="002F008B">
      <w:pPr>
        <w:pStyle w:val="Paragraphedeliste"/>
        <w:numPr>
          <w:ilvl w:val="0"/>
          <w:numId w:val="7"/>
        </w:numPr>
        <w:jc w:val="both"/>
      </w:pPr>
      <w:r w:rsidRPr="00972F0D">
        <w:t>Le Gouvernement veillera à apporter une solution d’hébergement pour chaque personne sans-abri, de même que des mesures pour assurer le respect de ses besoins fondamentaux, dans une démarche de cohésion sociale, en concertation avec les autorités communales concernées.</w:t>
      </w:r>
      <w:r>
        <w:t xml:space="preserve"> Le sans-abrisme est davantage présent dans les grandes villes , qui investissent dès lors davantage en structures d’accueil et services sociaux spécifiques. Le gouvernement renforcera son soutien. Les relais sociaux constitueront la structure active pour concrétiser cette politique.</w:t>
      </w:r>
    </w:p>
    <w:p w:rsidR="00F778A3" w:rsidRDefault="00F778A3" w:rsidP="002F008B">
      <w:pPr>
        <w:pStyle w:val="Paragraphedeliste"/>
        <w:numPr>
          <w:ilvl w:val="0"/>
          <w:numId w:val="7"/>
        </w:numPr>
        <w:jc w:val="both"/>
      </w:pPr>
      <w:r>
        <w:t>L’offre en termes d’abris de nuit et le nombre de logements d’urgence seront accrus au sein des bassins de vie en prévoyant un nombre déterminé de logements de transit et d’urgence dans le parc général de logements et en veillant à leur accessibilité en transports en commun.</w:t>
      </w:r>
    </w:p>
    <w:p w:rsidR="00F778A3" w:rsidRDefault="00F778A3" w:rsidP="002F008B">
      <w:pPr>
        <w:jc w:val="both"/>
      </w:pPr>
      <w:r>
        <w:t>Les modalités de mise en œuvre de cette future transition seront pensées en articulation avec les dispositifs existants en CPAS, aux premiers rangs desquels les PST et les PCS.</w:t>
      </w:r>
    </w:p>
    <w:p w:rsidR="00F778A3" w:rsidRDefault="00F778A3" w:rsidP="002F008B">
      <w:pPr>
        <w:jc w:val="both"/>
      </w:pPr>
      <w:r>
        <w:t>Parmi les mesures préconisées par la Fédération des CPAS en lien avec les enjeux de cohésion sociale auxquels les Villes sont particulièrement confrontées, on peut citer le soutien aux initiatives existantes pour les sans-abris, notamment par l’élargissement de la couverture des dispositifs d’urgence (abri de nuit, …) ou le renforcement des dispositifs d’accès à l’emploi.</w:t>
      </w:r>
    </w:p>
    <w:p w:rsidR="00F778A3" w:rsidRDefault="00F778A3" w:rsidP="002F008B">
      <w:pPr>
        <w:jc w:val="both"/>
      </w:pPr>
      <w:r>
        <w:t>Par ailleurs, le renforcement, via les CPAS, du pilier « cohésion sociale » de la politique de la Ville devrait permettre à la Région d’augmenter ses chances que les projets présentés soient soutenus par les autorités européennes.</w:t>
      </w:r>
    </w:p>
    <w:p w:rsidR="00F778A3" w:rsidRPr="008A0022" w:rsidRDefault="00F778A3" w:rsidP="008A0022">
      <w:pPr>
        <w:pStyle w:val="Paragraphedeliste"/>
        <w:numPr>
          <w:ilvl w:val="0"/>
          <w:numId w:val="4"/>
        </w:numPr>
        <w:jc w:val="both"/>
        <w:rPr>
          <w:u w:val="single"/>
        </w:rPr>
      </w:pPr>
      <w:r w:rsidRPr="008A0022">
        <w:rPr>
          <w:u w:val="single"/>
        </w:rPr>
        <w:t>Politique de mobilité en ville.</w:t>
      </w:r>
    </w:p>
    <w:p w:rsidR="00F778A3" w:rsidRDefault="00F778A3" w:rsidP="002F008B">
      <w:pPr>
        <w:jc w:val="both"/>
      </w:pPr>
      <w:r>
        <w:t>La DPR incite le Gouvernement à favoriser systématiquement les modes de déplacement dans l’ordre suivant : marche à pied, vélos et micromobilité douce, transports publics, transports privés collectifs (taxis, voitures partagées, covoiturage) puis individuels. C’est sur le territoire des Villes que la pratique de la marche, du vélo et autres types de micromobilité doivent être encore mieux développés. En ce qui concerne les transports publics, il est demandé au Gouvernement d’investir davantage dans les zones urbaines en vue de favoriser le report modal (via la réalisation d’infrastructures améliorant la vitesse commerciale des bus, la politique de stationnement, la politique cyclable, …).</w:t>
      </w:r>
    </w:p>
    <w:p w:rsidR="00F778A3" w:rsidRDefault="00F778A3" w:rsidP="002F008B">
      <w:pPr>
        <w:jc w:val="both"/>
      </w:pPr>
      <w:r>
        <w:t>Afin de diminuer les émissions de CO</w:t>
      </w:r>
      <w:r w:rsidRPr="00CD56AF">
        <w:rPr>
          <w:vertAlign w:val="subscript"/>
        </w:rPr>
        <w:t>2</w:t>
      </w:r>
      <w:r>
        <w:t>, une des mesures envisagées par la DPR prévoit d’encourager le commerce en centre-ville en utilisant des technologies d’information en temps réel des usagers quant à la disponibilité des parkings, notamment dans le cadre d’une approche multimodale (gare, parking de dissuasion, …).</w:t>
      </w:r>
    </w:p>
    <w:p w:rsidR="00F778A3" w:rsidRPr="008A0022" w:rsidRDefault="00F778A3" w:rsidP="008A0022">
      <w:pPr>
        <w:pStyle w:val="Paragraphedeliste"/>
        <w:numPr>
          <w:ilvl w:val="0"/>
          <w:numId w:val="4"/>
        </w:numPr>
        <w:jc w:val="both"/>
        <w:rPr>
          <w:u w:val="single"/>
        </w:rPr>
      </w:pPr>
      <w:r w:rsidRPr="008A0022">
        <w:rPr>
          <w:u w:val="single"/>
        </w:rPr>
        <w:t>Animation et gestion commerciale des centres villes.</w:t>
      </w:r>
    </w:p>
    <w:p w:rsidR="00F778A3" w:rsidRPr="008A0022" w:rsidRDefault="00F778A3" w:rsidP="002F008B">
      <w:pPr>
        <w:jc w:val="both"/>
      </w:pPr>
      <w:r w:rsidRPr="008A0022">
        <w:t>Sur base de la DPR 2019-2024, la politique wallonne de la ville veillera notamment à :</w:t>
      </w:r>
    </w:p>
    <w:p w:rsidR="00F778A3" w:rsidRPr="008A0022" w:rsidRDefault="00F778A3" w:rsidP="002F008B">
      <w:pPr>
        <w:pStyle w:val="Paragraphedeliste"/>
        <w:numPr>
          <w:ilvl w:val="0"/>
          <w:numId w:val="8"/>
        </w:numPr>
        <w:jc w:val="both"/>
      </w:pPr>
      <w:r w:rsidRPr="008A0022">
        <w:t>Envisager des projets de démolition/ reconstruction dans les chancres urbains ou commerciaux, qui s’y prêtent ;</w:t>
      </w:r>
    </w:p>
    <w:p w:rsidR="00F778A3" w:rsidRPr="008A0022" w:rsidRDefault="00F778A3" w:rsidP="002F008B">
      <w:pPr>
        <w:pStyle w:val="Paragraphedeliste"/>
        <w:numPr>
          <w:ilvl w:val="0"/>
          <w:numId w:val="8"/>
        </w:numPr>
        <w:jc w:val="both"/>
      </w:pPr>
      <w:r w:rsidRPr="008A0022">
        <w:t>Privilégier en matière de commerce les politiques durables de revitalisation des quartiers commerçants dans les centres urbains (exemples : rénovation des devantures, soutien aux marchés dont les marchés couverts permanents), avec un modèle de proximité et de mixité commerciale ;</w:t>
      </w:r>
    </w:p>
    <w:p w:rsidR="00F778A3" w:rsidRPr="008A0022" w:rsidRDefault="00F778A3" w:rsidP="002F008B">
      <w:pPr>
        <w:pStyle w:val="Paragraphedeliste"/>
        <w:numPr>
          <w:ilvl w:val="0"/>
          <w:numId w:val="8"/>
        </w:numPr>
        <w:jc w:val="both"/>
      </w:pPr>
      <w:r w:rsidRPr="008A0022">
        <w:t>Renforcer le soutien au commerce en ville, le cas échéant en adaptant une législation-cadre pour favoriser la mixité commerciale, notamment au moyen de régies commerciales, de pop-up stores et de business improvement districts ;</w:t>
      </w:r>
    </w:p>
    <w:p w:rsidR="00F778A3" w:rsidRPr="008A0022" w:rsidRDefault="00F778A3" w:rsidP="002F008B">
      <w:pPr>
        <w:pStyle w:val="Paragraphedeliste"/>
        <w:numPr>
          <w:ilvl w:val="0"/>
          <w:numId w:val="8"/>
        </w:numPr>
        <w:jc w:val="both"/>
      </w:pPr>
      <w:r w:rsidRPr="008A0022">
        <w:t>Encourager la localisation des commerces de proximité (en particulier les commerces de détail) dans les centres urbains à travers une meilleure concertation au sein des bassins de vie et par le renforcement du schéma régional de développement du commerce ;</w:t>
      </w:r>
    </w:p>
    <w:p w:rsidR="00F778A3" w:rsidRPr="008A0022" w:rsidRDefault="00F778A3" w:rsidP="002F008B">
      <w:pPr>
        <w:pStyle w:val="Paragraphedeliste"/>
        <w:numPr>
          <w:ilvl w:val="0"/>
          <w:numId w:val="8"/>
        </w:numPr>
        <w:jc w:val="both"/>
      </w:pPr>
      <w:r w:rsidRPr="008A0022">
        <w:t>Engager une politique visant à réduire au maximum le développement des centres commerciaux de périphérie, notamment à travers un renforcement du schéma régional de développement du commerce ;</w:t>
      </w:r>
    </w:p>
    <w:p w:rsidR="00F778A3" w:rsidRDefault="00F778A3" w:rsidP="002F008B">
      <w:pPr>
        <w:pStyle w:val="Paragraphedeliste"/>
        <w:numPr>
          <w:ilvl w:val="0"/>
          <w:numId w:val="8"/>
        </w:numPr>
        <w:jc w:val="both"/>
      </w:pPr>
      <w:r w:rsidRPr="008A0022">
        <w:t>Consolider le rôle des gestions centre-ville.</w:t>
      </w:r>
    </w:p>
    <w:p w:rsidR="008A0022" w:rsidRPr="008A0022" w:rsidRDefault="008A0022" w:rsidP="008A0022">
      <w:pPr>
        <w:pStyle w:val="Paragraphedeliste"/>
        <w:jc w:val="both"/>
      </w:pPr>
    </w:p>
    <w:p w:rsidR="00F778A3" w:rsidRPr="008A0022" w:rsidRDefault="00F778A3" w:rsidP="008A0022">
      <w:pPr>
        <w:pStyle w:val="Paragraphedeliste"/>
        <w:numPr>
          <w:ilvl w:val="0"/>
          <w:numId w:val="4"/>
        </w:numPr>
        <w:jc w:val="both"/>
        <w:rPr>
          <w:u w:val="single"/>
        </w:rPr>
      </w:pPr>
      <w:r w:rsidRPr="008A0022">
        <w:rPr>
          <w:u w:val="single"/>
        </w:rPr>
        <w:t>Végétalisation des villes et adaptation aux changements climatiques.</w:t>
      </w:r>
    </w:p>
    <w:p w:rsidR="00F778A3" w:rsidRDefault="00F778A3" w:rsidP="002F008B">
      <w:pPr>
        <w:jc w:val="both"/>
      </w:pPr>
      <w:r>
        <w:t>La végétalisation des villes fait partie des objectifs poursuivis par la DPR 2019-2014. Il y est prévu d’augmenter le nombre et la surface d’espaces verts en zone urbaine, de soutenir la végétalisation des villes ou encore de développer l’agriculture sur les toits et terrasses (agriculture urbaine), en s’inspirant des projets architecturaux organiques et profitant de ces projets pour en maximiser l’impact positif en termes de biodiversité. Des nouvelles techniques permettant de végétaliser les structures, ouvrages, plateformes et façades en béton seront mises en œuvre.</w:t>
      </w:r>
    </w:p>
    <w:p w:rsidR="00F778A3" w:rsidRPr="008A0022" w:rsidRDefault="00F778A3" w:rsidP="008A0022">
      <w:pPr>
        <w:pStyle w:val="Paragraphedeliste"/>
        <w:numPr>
          <w:ilvl w:val="0"/>
          <w:numId w:val="4"/>
        </w:numPr>
        <w:jc w:val="both"/>
        <w:rPr>
          <w:u w:val="single"/>
        </w:rPr>
      </w:pPr>
      <w:r w:rsidRPr="008A0022">
        <w:rPr>
          <w:u w:val="single"/>
        </w:rPr>
        <w:t>Villes connectées.</w:t>
      </w:r>
    </w:p>
    <w:p w:rsidR="00F778A3" w:rsidRDefault="00F778A3" w:rsidP="002F008B">
      <w:pPr>
        <w:jc w:val="both"/>
      </w:pPr>
      <w:r>
        <w:t>Il faut encourager l’accessibilité, au niveau local, d’un maximum de démarches et d’informations en ligne.</w:t>
      </w:r>
    </w:p>
    <w:p w:rsidR="00F778A3" w:rsidRDefault="00F778A3" w:rsidP="002F008B">
      <w:pPr>
        <w:jc w:val="both"/>
      </w:pPr>
      <w:r>
        <w:t xml:space="preserve">Pour rappel, le Gouvernement wallon a lancé un appel à projets « territoire intelligent » dans le cadre de Digital Wallonia. Bénéficiant d’une enveloppe de 4 millions €, il a pour vocation d’encourager les villes et communes wallonnes à développer des projets numériques dans l’un des 3 domaines suivants : </w:t>
      </w:r>
    </w:p>
    <w:p w:rsidR="00F778A3" w:rsidRDefault="00F778A3" w:rsidP="002F008B">
      <w:pPr>
        <w:pStyle w:val="Paragraphedeliste"/>
        <w:numPr>
          <w:ilvl w:val="0"/>
          <w:numId w:val="7"/>
        </w:numPr>
        <w:jc w:val="both"/>
      </w:pPr>
      <w:r>
        <w:t>Énergie et environnement ;</w:t>
      </w:r>
    </w:p>
    <w:p w:rsidR="00F778A3" w:rsidRDefault="00F778A3" w:rsidP="002F008B">
      <w:pPr>
        <w:pStyle w:val="Paragraphedeliste"/>
        <w:numPr>
          <w:ilvl w:val="0"/>
          <w:numId w:val="7"/>
        </w:numPr>
        <w:jc w:val="both"/>
      </w:pPr>
      <w:r>
        <w:t>Mobilité et logistique ;</w:t>
      </w:r>
    </w:p>
    <w:p w:rsidR="00F778A3" w:rsidRDefault="00F778A3" w:rsidP="002F008B">
      <w:pPr>
        <w:pStyle w:val="Paragraphedeliste"/>
        <w:numPr>
          <w:ilvl w:val="0"/>
          <w:numId w:val="7"/>
        </w:numPr>
        <w:jc w:val="both"/>
      </w:pPr>
      <w:r>
        <w:t>Gouvernance et citoyenneté.</w:t>
      </w:r>
    </w:p>
    <w:p w:rsidR="008A0022" w:rsidRDefault="008A0022" w:rsidP="008A0022">
      <w:pPr>
        <w:pStyle w:val="Paragraphedeliste"/>
        <w:jc w:val="both"/>
      </w:pPr>
    </w:p>
    <w:p w:rsidR="00F778A3" w:rsidRPr="008A0022" w:rsidRDefault="00F778A3" w:rsidP="008A0022">
      <w:pPr>
        <w:pStyle w:val="Paragraphedeliste"/>
        <w:numPr>
          <w:ilvl w:val="0"/>
          <w:numId w:val="4"/>
        </w:numPr>
        <w:jc w:val="both"/>
        <w:rPr>
          <w:u w:val="single"/>
        </w:rPr>
      </w:pPr>
      <w:r w:rsidRPr="008A0022">
        <w:rPr>
          <w:u w:val="single"/>
        </w:rPr>
        <w:t>Le tourisme et le Patrimoine en ville.</w:t>
      </w:r>
    </w:p>
    <w:p w:rsidR="00F778A3" w:rsidRDefault="00F778A3" w:rsidP="002F008B">
      <w:pPr>
        <w:jc w:val="both"/>
      </w:pPr>
      <w:r>
        <w:t>Il s’agit de favoriser la création et l’animation de dynamiques locales, associant commerce, tourisme, HORECA mais aussi patrimoine et culture, sur le plan d’une ville ou d’un centre-ville.</w:t>
      </w:r>
    </w:p>
    <w:p w:rsidR="00F778A3" w:rsidRDefault="00F778A3" w:rsidP="002F008B">
      <w:pPr>
        <w:jc w:val="both"/>
      </w:pPr>
      <w:r>
        <w:t>Le développement d’une offre MICE (tourisme d’affaire), qui reste à ce jour sous-dimensionnée en Wallonie, doit s’inscrire dans une chaîne de valeur locale dynamisante pour les villes.</w:t>
      </w:r>
    </w:p>
    <w:p w:rsidR="00F778A3" w:rsidRDefault="00F778A3" w:rsidP="002F008B">
      <w:pPr>
        <w:jc w:val="both"/>
      </w:pPr>
      <w:r>
        <w:t>Des projets de restauration extérieure ou de rafraichissements des façades de ces ensembles du patrimoine sont de nature à valoriser l’attractivité de la Ville, à offrir à ses habitants un cadre de vie agréable et à améliorer la qualité du bâti le cas échéant.</w:t>
      </w:r>
    </w:p>
    <w:p w:rsidR="00F778A3" w:rsidRDefault="00F778A3" w:rsidP="002F008B">
      <w:pPr>
        <w:jc w:val="both"/>
      </w:pPr>
      <w:r>
        <w:t>La reconversion de friches industrielles est un défi qui doit permettre la reconstruction de la ville sur la ville. Afin de proposer une mise en valeur de ce patrimoine local, et dans le cadre de la reconversion de friches industrielles, des témoins choisis pourraient faire l’objet de restauration et de mise en valeur, en lien avec l’inventaire du patrimoine industriel en cours de réalisation. Il s’agit d’inscrire ce patrimoine dans l’avenir et dans la Ville de demain.</w:t>
      </w:r>
    </w:p>
    <w:p w:rsidR="00F778A3" w:rsidRDefault="00F778A3" w:rsidP="002F008B">
      <w:pPr>
        <w:jc w:val="both"/>
      </w:pPr>
      <w:r>
        <w:t>L’attention donnée à notre patrimoine doit découler d’une connaissance des particularités propres au secteur. Des opérations de valorisation et d’entretien du patrimoine pourront ainsi être menées.</w:t>
      </w:r>
    </w:p>
    <w:p w:rsidR="00F778A3" w:rsidRPr="008A0022" w:rsidRDefault="00F778A3" w:rsidP="008A0022">
      <w:pPr>
        <w:pStyle w:val="Paragraphedeliste"/>
        <w:numPr>
          <w:ilvl w:val="0"/>
          <w:numId w:val="4"/>
        </w:numPr>
        <w:jc w:val="both"/>
        <w:rPr>
          <w:u w:val="single"/>
        </w:rPr>
      </w:pPr>
      <w:r w:rsidRPr="008A0022">
        <w:rPr>
          <w:u w:val="single"/>
        </w:rPr>
        <w:t>Le logement en Ville.</w:t>
      </w:r>
    </w:p>
    <w:p w:rsidR="00F778A3" w:rsidRDefault="00F778A3" w:rsidP="002F008B">
      <w:pPr>
        <w:jc w:val="both"/>
      </w:pPr>
      <w:r>
        <w:t>La DPR aborde le logement en ville à travers différentes thématiques :</w:t>
      </w:r>
    </w:p>
    <w:p w:rsidR="00F778A3" w:rsidRDefault="00F778A3" w:rsidP="002F008B">
      <w:pPr>
        <w:pStyle w:val="Paragraphedeliste"/>
        <w:numPr>
          <w:ilvl w:val="0"/>
          <w:numId w:val="9"/>
        </w:numPr>
        <w:jc w:val="both"/>
      </w:pPr>
      <w:r>
        <w:t>Encourager la concentration des nouveaux projets d’habitat dans les zones bien situées des pôles urbains en poursuivant des objectifs de densité, identifiés dans leur schéma de développement communal, notamment les sites industriels à réaffecter après dépollution et les dents creuses, afin de lutter contre l’étalement urbain ;</w:t>
      </w:r>
    </w:p>
    <w:p w:rsidR="00F778A3" w:rsidRDefault="00F778A3" w:rsidP="002F008B">
      <w:pPr>
        <w:pStyle w:val="Paragraphedeliste"/>
        <w:numPr>
          <w:ilvl w:val="0"/>
          <w:numId w:val="9"/>
        </w:numPr>
        <w:jc w:val="both"/>
      </w:pPr>
      <w:r>
        <w:t>La réduction de l’étalement urbain ;</w:t>
      </w:r>
    </w:p>
    <w:p w:rsidR="00F778A3" w:rsidRDefault="00F778A3" w:rsidP="002F008B">
      <w:pPr>
        <w:pStyle w:val="Paragraphedeliste"/>
        <w:numPr>
          <w:ilvl w:val="0"/>
          <w:numId w:val="9"/>
        </w:numPr>
        <w:jc w:val="both"/>
      </w:pPr>
      <w:r>
        <w:t>La lutte contre les logements inoccupés qui est une problématique particulièrement prégnante pour les logements se situant au-dessus des rez-de-chaussée commerciaux ;</w:t>
      </w:r>
    </w:p>
    <w:p w:rsidR="00F778A3" w:rsidRDefault="00F778A3" w:rsidP="002F008B">
      <w:pPr>
        <w:pStyle w:val="Paragraphedeliste"/>
        <w:numPr>
          <w:ilvl w:val="0"/>
          <w:numId w:val="9"/>
        </w:numPr>
        <w:jc w:val="both"/>
      </w:pPr>
      <w:r>
        <w:t>La rénovation énergétique des logements.</w:t>
      </w:r>
    </w:p>
    <w:p w:rsidR="00F778A3" w:rsidRDefault="00F778A3" w:rsidP="002F008B">
      <w:pPr>
        <w:jc w:val="both"/>
      </w:pPr>
      <w:r>
        <w:t>La remise sur le marché de ces logements doit s’accompagner d’une attention particulière pour les publics les moins favorisés en permettant aux opérateurs immobiliers tels que définis par le CWHD de prendre en gestion les logements inoccupés et de les mettre à disposition des publics les plus précarisés à des loyers modérés.</w:t>
      </w:r>
    </w:p>
    <w:p w:rsidR="00F778A3" w:rsidRPr="008A0022" w:rsidRDefault="00F778A3" w:rsidP="008A0022">
      <w:pPr>
        <w:pStyle w:val="Paragraphedeliste"/>
        <w:numPr>
          <w:ilvl w:val="0"/>
          <w:numId w:val="4"/>
        </w:numPr>
        <w:jc w:val="both"/>
        <w:rPr>
          <w:u w:val="single"/>
        </w:rPr>
      </w:pPr>
      <w:r w:rsidRPr="008A0022">
        <w:rPr>
          <w:u w:val="single"/>
        </w:rPr>
        <w:t>Réhabilitation de sites à réaménager situés dans les centralités des villes.</w:t>
      </w:r>
    </w:p>
    <w:p w:rsidR="00F778A3" w:rsidRDefault="00F778A3" w:rsidP="002F008B">
      <w:pPr>
        <w:jc w:val="both"/>
      </w:pPr>
      <w:r>
        <w:t>La DPR 2019-2024 souligne que la stratégie territoriale de développement doit s’imaginer dans le respect des objectifs de réduction de l’étalement urbain et du développement de la circularité de l’économie.</w:t>
      </w:r>
    </w:p>
    <w:p w:rsidR="00F778A3" w:rsidRDefault="00F778A3" w:rsidP="002F008B">
      <w:pPr>
        <w:jc w:val="both"/>
      </w:pPr>
      <w:r>
        <w:t>Pour freiner l’étalement urbain et y mettre fin à l’horizon 2050, il s’agit à court terme de poursuivre les objectifs suivants :</w:t>
      </w:r>
    </w:p>
    <w:p w:rsidR="00F778A3" w:rsidRDefault="00F778A3" w:rsidP="002F008B">
      <w:pPr>
        <w:pStyle w:val="Paragraphedeliste"/>
        <w:numPr>
          <w:ilvl w:val="0"/>
          <w:numId w:val="8"/>
        </w:numPr>
        <w:jc w:val="both"/>
      </w:pPr>
      <w:r>
        <w:t>Réduire la consommation des terres non artificialisées en la plafonnant d’ici 2025 ;</w:t>
      </w:r>
    </w:p>
    <w:p w:rsidR="00F778A3" w:rsidRDefault="00F778A3" w:rsidP="002F008B">
      <w:pPr>
        <w:pStyle w:val="Paragraphedeliste"/>
        <w:numPr>
          <w:ilvl w:val="0"/>
          <w:numId w:val="8"/>
        </w:numPr>
        <w:jc w:val="both"/>
      </w:pPr>
      <w:r>
        <w:t>Préserver au maximum les surfaces agricoles ;</w:t>
      </w:r>
    </w:p>
    <w:p w:rsidR="00F778A3" w:rsidRDefault="00F778A3" w:rsidP="002F008B">
      <w:pPr>
        <w:pStyle w:val="Paragraphedeliste"/>
        <w:numPr>
          <w:ilvl w:val="0"/>
          <w:numId w:val="8"/>
        </w:numPr>
        <w:jc w:val="both"/>
      </w:pPr>
      <w:r>
        <w:t>Maintenir, réutiliser ou rénover le bâti existant ;</w:t>
      </w:r>
    </w:p>
    <w:p w:rsidR="00F778A3" w:rsidRDefault="00F778A3" w:rsidP="002F008B">
      <w:pPr>
        <w:pStyle w:val="Paragraphedeliste"/>
        <w:numPr>
          <w:ilvl w:val="0"/>
          <w:numId w:val="8"/>
        </w:numPr>
        <w:jc w:val="both"/>
      </w:pPr>
      <w:r>
        <w:t>Localiser au maximum les bâtiments à construire dans les tissus bâtis existants (urbains, ruraux ou périurbains) situés à proximité des services et transports en commun ;</w:t>
      </w:r>
    </w:p>
    <w:p w:rsidR="00F778A3" w:rsidRDefault="00F778A3" w:rsidP="002F008B">
      <w:pPr>
        <w:pStyle w:val="Paragraphedeliste"/>
        <w:numPr>
          <w:ilvl w:val="0"/>
          <w:numId w:val="8"/>
        </w:numPr>
        <w:jc w:val="both"/>
      </w:pPr>
      <w:r>
        <w:t>Restaurer la biodiversité.</w:t>
      </w:r>
    </w:p>
    <w:p w:rsidR="00F778A3" w:rsidRDefault="00F778A3" w:rsidP="002F008B">
      <w:pPr>
        <w:jc w:val="both"/>
      </w:pPr>
      <w:r>
        <w:t>La Wallonie fera en sorte que l’ensemble de ses activités économiques s’inscrivent dans une approche d’économie circulaire (production bas carbone, zéro déchet, économie de la fonctionnalité, circuits courts, économie de la réparation, sortie de l’obsolescence programmée, assainissement des friches industrielles, réduction planifiée de l’usage des plastiques, design responsable).</w:t>
      </w:r>
    </w:p>
    <w:p w:rsidR="00F778A3" w:rsidRDefault="00F778A3" w:rsidP="002F008B">
      <w:pPr>
        <w:jc w:val="both"/>
      </w:pPr>
      <w:r>
        <w:t>Le Gouvernement identifiera, dans les moyens dévolus au Ministre de l’Aménagement du territoire, des moyens budgétaires provenant de la réallocation d’une partie des moyens prévus au Plan de transition pour l’équipement des PAE en gaz.</w:t>
      </w:r>
    </w:p>
    <w:p w:rsidR="00F778A3" w:rsidRDefault="00F778A3" w:rsidP="002F008B">
      <w:pPr>
        <w:jc w:val="both"/>
      </w:pPr>
      <w:r>
        <w:t>Ces moyens pourraient aussi provenir des enveloppes suivantes :</w:t>
      </w:r>
    </w:p>
    <w:p w:rsidR="00F778A3" w:rsidRDefault="00F778A3" w:rsidP="002F008B">
      <w:pPr>
        <w:pStyle w:val="Paragraphedeliste"/>
        <w:numPr>
          <w:ilvl w:val="0"/>
          <w:numId w:val="8"/>
        </w:numPr>
        <w:jc w:val="both"/>
      </w:pPr>
      <w:r w:rsidRPr="00741968">
        <w:t>Via Get up Wallonia, qui au stade actu</w:t>
      </w:r>
      <w:r>
        <w:t>el des travaux, cite explicitement la réhabilitation de ces friches comme priorité ;</w:t>
      </w:r>
    </w:p>
    <w:p w:rsidR="00F778A3" w:rsidRDefault="00F778A3" w:rsidP="002F008B">
      <w:pPr>
        <w:pStyle w:val="Paragraphedeliste"/>
        <w:numPr>
          <w:ilvl w:val="0"/>
          <w:numId w:val="8"/>
        </w:numPr>
        <w:jc w:val="both"/>
      </w:pPr>
      <w:r>
        <w:t>Via la prochaine programmation FEDER 2021-2027.</w:t>
      </w:r>
    </w:p>
    <w:p w:rsidR="00F778A3" w:rsidRDefault="00F778A3" w:rsidP="002F008B">
      <w:pPr>
        <w:jc w:val="both"/>
      </w:pPr>
      <w:r>
        <w:t>L’ambition est de dégager, en base annuelle, des moyens d’engagement complémentaires à hauteur de 10 millions €, afin de procéder à la réhabilitation de sites à réaménager situés dans les centralités des villes de toute dimension.</w:t>
      </w:r>
    </w:p>
    <w:p w:rsidR="00F778A3" w:rsidRDefault="00F778A3" w:rsidP="002F008B">
      <w:pPr>
        <w:jc w:val="both"/>
      </w:pPr>
      <w:r>
        <w:t>Ce budget viendra en appui des projets rentrés par les communes dans le cadre de la politique intégrée des villes.</w:t>
      </w:r>
    </w:p>
    <w:p w:rsidR="00F778A3" w:rsidRPr="008A0022" w:rsidRDefault="00F778A3" w:rsidP="008A0022">
      <w:pPr>
        <w:pStyle w:val="Titre2"/>
        <w:rPr>
          <w:u w:val="single"/>
        </w:rPr>
      </w:pPr>
      <w:r w:rsidRPr="008A0022">
        <w:rPr>
          <w:u w:val="single"/>
        </w:rPr>
        <w:t>Nouvelles mesures d’aide à la politique intégrée de la Ville.</w:t>
      </w:r>
    </w:p>
    <w:p w:rsidR="00F778A3" w:rsidRDefault="00F778A3" w:rsidP="002F008B">
      <w:pPr>
        <w:pStyle w:val="Paragraphedeliste"/>
        <w:numPr>
          <w:ilvl w:val="0"/>
          <w:numId w:val="10"/>
        </w:numPr>
        <w:jc w:val="both"/>
      </w:pPr>
      <w:r>
        <w:t>L’administration régionale doit s’adapter à ce nouvel environnement. Il apparaît, par exemple, nécessaire de renforcer la coordination entre les différents services actuellement concernés par une partie des matières traitées, mas aussi de mettre en place un centre de ressources et de compétences en développement urbain, et plus généralement en développement des centralités, afin d’assurer la centralisation des connaissances et des retours d’expérience en matière de développement urbain, d’établir une veille (en particulier au niveau des programmes européens), et d’accentuer l’accompagnement des villes, notamment via la mise en place d’un réseau des acteurs wallons du développement urbain et en mettant, en collaboration avec l’IWEPS, des outils statistiques à leur disposition.</w:t>
      </w:r>
    </w:p>
    <w:p w:rsidR="00F778A3" w:rsidRDefault="00F778A3" w:rsidP="002F008B">
      <w:pPr>
        <w:pStyle w:val="Paragraphedeliste"/>
        <w:numPr>
          <w:ilvl w:val="0"/>
          <w:numId w:val="10"/>
        </w:numPr>
        <w:jc w:val="both"/>
      </w:pPr>
      <w:r>
        <w:t>Il s’agirait de proposer au acteurs locaux concernés un ensemble d’instruments destinés à favoriser le développement de projets en milieu urbain, notamment la requalification de quartiers dégradés des tissus urbains anciens ou le développement d’espaces nouveaux. Ce bouquet d’instruments comprendrait, outre les mécanismes bien connus de la rénovation et de la revitalisation urbaines, des outils normatifs (par exemple, l’utilisation des outils du CoDT facilitant le redéploiement du tissu urbain et le développement de projets), financiers fiscaux et de subsides, en privilégiant le décloisonnement des subventions sectorielles.</w:t>
      </w:r>
    </w:p>
    <w:p w:rsidR="00F778A3" w:rsidRDefault="00F778A3" w:rsidP="002F008B">
      <w:pPr>
        <w:pStyle w:val="Paragraphedeliste"/>
        <w:jc w:val="both"/>
      </w:pPr>
      <w:r>
        <w:t>Le Gouvernement entend confier à un groupe de travail intercabinets, élargi aux administrations et aux experts invités en fonction des thématiques abordées, le soin de tracer les contours de ce package d’outils urbains et de lui soumettre, avant la fin de l’année 2021, des propositions concrètes en la matière.</w:t>
      </w:r>
    </w:p>
    <w:p w:rsidR="00F778A3" w:rsidRDefault="00F778A3" w:rsidP="002F008B">
      <w:pPr>
        <w:pStyle w:val="Paragraphedeliste"/>
        <w:numPr>
          <w:ilvl w:val="0"/>
          <w:numId w:val="10"/>
        </w:numPr>
        <w:jc w:val="both"/>
      </w:pPr>
      <w:r>
        <w:t>Au niveau des exigences européennes en termes de concentrations thématiques, il faut noter qu’il est d’ores et déjà prévu qu’au moins 6% des ressources FEDER attribuées au niveau national au titre de l’objectif « investissement pour l’emploi et la croissance » seront allouées « au développement urbain durable, sous forme de développement local mené par les acteurs locaux, d’investissements territoriaux intégrés ou d’un autre outil territorial dans le cadre de l’OS 5 ».</w:t>
      </w:r>
    </w:p>
    <w:p w:rsidR="00F778A3" w:rsidRDefault="00F778A3" w:rsidP="002F008B">
      <w:pPr>
        <w:pStyle w:val="Paragraphedeliste"/>
        <w:jc w:val="both"/>
      </w:pPr>
      <w:r>
        <w:t>Le FEDER soutiendra la mise en œuvre par la Commission de « l’initiative urbaine européenne ». Cette initiative couvre toutes les zones urbaines et concourt à la réalisation du programme urbain de l’Union au travers des 3 volets suivants : l’appui au renforcement des capacités ; l’appui aux actions innovantes ; et l’appui en matière de connaissances, d’élaboration des politiques et de communication.</w:t>
      </w:r>
    </w:p>
    <w:p w:rsidR="00F778A3" w:rsidRPr="008A0022" w:rsidRDefault="00F778A3" w:rsidP="008A0022">
      <w:pPr>
        <w:pStyle w:val="Titre2"/>
        <w:rPr>
          <w:u w:val="single"/>
        </w:rPr>
      </w:pPr>
      <w:r w:rsidRPr="008A0022">
        <w:rPr>
          <w:u w:val="single"/>
        </w:rPr>
        <w:t>Impact budgétaire.</w:t>
      </w:r>
    </w:p>
    <w:p w:rsidR="00F778A3" w:rsidRDefault="00F778A3" w:rsidP="002F008B">
      <w:pPr>
        <w:jc w:val="both"/>
      </w:pPr>
      <w:r>
        <w:t>Ce montant global de 240 millions se décompose comme suit :</w:t>
      </w:r>
    </w:p>
    <w:p w:rsidR="00F778A3" w:rsidRDefault="00F778A3" w:rsidP="002F008B">
      <w:pPr>
        <w:pStyle w:val="Paragraphedeliste"/>
        <w:numPr>
          <w:ilvl w:val="0"/>
          <w:numId w:val="7"/>
        </w:numPr>
        <w:jc w:val="both"/>
      </w:pPr>
      <w:r>
        <w:t>115 millions sur l’A.B. 63.08 « Subventions relatives à la Politique de la Ville » du programme 16.03</w:t>
      </w:r>
    </w:p>
    <w:p w:rsidR="00F778A3" w:rsidRDefault="00F778A3" w:rsidP="002F008B">
      <w:pPr>
        <w:pStyle w:val="Paragraphedeliste"/>
        <w:numPr>
          <w:ilvl w:val="0"/>
          <w:numId w:val="7"/>
        </w:numPr>
        <w:jc w:val="both"/>
      </w:pPr>
      <w:r>
        <w:t>125 millions seront transférés au départ de l’A.B. 01.02 du programme 10.08 (à savoir 5x25 millions sur l’années 2020 à 2024, issue de la ligne Alliance Emploi-Environnement-Isolation au sein du Plan de Transition) vers l’A.B. 63.08 du programme 16.03</w:t>
      </w:r>
    </w:p>
    <w:tbl>
      <w:tblPr>
        <w:tblStyle w:val="Grilledutableau"/>
        <w:tblW w:w="0" w:type="auto"/>
        <w:tblLook w:val="04A0" w:firstRow="1" w:lastRow="0" w:firstColumn="1" w:lastColumn="0" w:noHBand="0" w:noVBand="1"/>
      </w:tblPr>
      <w:tblGrid>
        <w:gridCol w:w="1294"/>
        <w:gridCol w:w="1294"/>
        <w:gridCol w:w="1294"/>
        <w:gridCol w:w="1295"/>
        <w:gridCol w:w="1295"/>
        <w:gridCol w:w="1295"/>
        <w:gridCol w:w="1295"/>
      </w:tblGrid>
      <w:tr w:rsidR="00F778A3" w:rsidTr="00053C61">
        <w:tc>
          <w:tcPr>
            <w:tcW w:w="9062" w:type="dxa"/>
            <w:gridSpan w:val="7"/>
          </w:tcPr>
          <w:p w:rsidR="00F778A3" w:rsidRDefault="00F778A3" w:rsidP="002F008B">
            <w:pPr>
              <w:jc w:val="both"/>
            </w:pPr>
            <w:r>
              <w:t>Impact de la décision sur les dépenses</w:t>
            </w:r>
          </w:p>
        </w:tc>
      </w:tr>
      <w:tr w:rsidR="00F778A3" w:rsidTr="00053C61">
        <w:tc>
          <w:tcPr>
            <w:tcW w:w="9062" w:type="dxa"/>
            <w:gridSpan w:val="7"/>
          </w:tcPr>
          <w:p w:rsidR="00F778A3" w:rsidRDefault="00F778A3" w:rsidP="002F008B">
            <w:pPr>
              <w:jc w:val="both"/>
            </w:pPr>
            <w:r>
              <w:t>DO – Prog : 16.03 – A.B. 63.08</w:t>
            </w:r>
          </w:p>
        </w:tc>
      </w:tr>
      <w:tr w:rsidR="00F778A3" w:rsidTr="00053C61">
        <w:tc>
          <w:tcPr>
            <w:tcW w:w="1294" w:type="dxa"/>
          </w:tcPr>
          <w:p w:rsidR="00F778A3" w:rsidRDefault="00F778A3" w:rsidP="002F008B">
            <w:pPr>
              <w:jc w:val="both"/>
            </w:pPr>
            <w:r>
              <w:t>En K€</w:t>
            </w:r>
          </w:p>
        </w:tc>
        <w:tc>
          <w:tcPr>
            <w:tcW w:w="1294" w:type="dxa"/>
          </w:tcPr>
          <w:p w:rsidR="00F778A3" w:rsidRDefault="00F778A3" w:rsidP="002F008B">
            <w:pPr>
              <w:jc w:val="both"/>
            </w:pPr>
            <w:r>
              <w:t>2021</w:t>
            </w:r>
          </w:p>
        </w:tc>
        <w:tc>
          <w:tcPr>
            <w:tcW w:w="1294" w:type="dxa"/>
          </w:tcPr>
          <w:p w:rsidR="00F778A3" w:rsidRDefault="00F778A3" w:rsidP="002F008B">
            <w:pPr>
              <w:jc w:val="both"/>
            </w:pPr>
            <w:r>
              <w:t>2022</w:t>
            </w:r>
          </w:p>
        </w:tc>
        <w:tc>
          <w:tcPr>
            <w:tcW w:w="1295" w:type="dxa"/>
          </w:tcPr>
          <w:p w:rsidR="00F778A3" w:rsidRDefault="00F778A3" w:rsidP="002F008B">
            <w:pPr>
              <w:jc w:val="both"/>
            </w:pPr>
            <w:r>
              <w:t>2023</w:t>
            </w:r>
          </w:p>
        </w:tc>
        <w:tc>
          <w:tcPr>
            <w:tcW w:w="1295" w:type="dxa"/>
          </w:tcPr>
          <w:p w:rsidR="00F778A3" w:rsidRDefault="00F778A3" w:rsidP="002F008B">
            <w:pPr>
              <w:jc w:val="both"/>
            </w:pPr>
            <w:r>
              <w:t>2024</w:t>
            </w:r>
          </w:p>
        </w:tc>
        <w:tc>
          <w:tcPr>
            <w:tcW w:w="1295" w:type="dxa"/>
          </w:tcPr>
          <w:p w:rsidR="00F778A3" w:rsidRDefault="00F778A3" w:rsidP="002F008B">
            <w:pPr>
              <w:jc w:val="both"/>
            </w:pPr>
            <w:r>
              <w:t>2025</w:t>
            </w:r>
          </w:p>
        </w:tc>
        <w:tc>
          <w:tcPr>
            <w:tcW w:w="1295" w:type="dxa"/>
          </w:tcPr>
          <w:p w:rsidR="00F778A3" w:rsidRDefault="00F778A3" w:rsidP="002F008B">
            <w:pPr>
              <w:jc w:val="both"/>
            </w:pPr>
            <w:r>
              <w:t>2026</w:t>
            </w:r>
          </w:p>
        </w:tc>
      </w:tr>
      <w:tr w:rsidR="00F778A3" w:rsidTr="00053C61">
        <w:tc>
          <w:tcPr>
            <w:tcW w:w="1294" w:type="dxa"/>
          </w:tcPr>
          <w:p w:rsidR="00F778A3" w:rsidRDefault="00F778A3" w:rsidP="002F008B">
            <w:pPr>
              <w:jc w:val="both"/>
            </w:pPr>
            <w:r>
              <w:t>CE</w:t>
            </w:r>
          </w:p>
        </w:tc>
        <w:tc>
          <w:tcPr>
            <w:tcW w:w="1294" w:type="dxa"/>
          </w:tcPr>
          <w:p w:rsidR="00F778A3" w:rsidRDefault="00F778A3" w:rsidP="002F008B">
            <w:pPr>
              <w:jc w:val="both"/>
            </w:pPr>
            <w:r>
              <w:t>240.000</w:t>
            </w:r>
          </w:p>
        </w:tc>
        <w:tc>
          <w:tcPr>
            <w:tcW w:w="1294" w:type="dxa"/>
          </w:tcPr>
          <w:p w:rsidR="00F778A3" w:rsidRDefault="00F778A3" w:rsidP="002F008B">
            <w:pPr>
              <w:jc w:val="both"/>
            </w:pPr>
          </w:p>
        </w:tc>
        <w:tc>
          <w:tcPr>
            <w:tcW w:w="1295" w:type="dxa"/>
          </w:tcPr>
          <w:p w:rsidR="00F778A3" w:rsidRDefault="00F778A3" w:rsidP="002F008B">
            <w:pPr>
              <w:jc w:val="both"/>
            </w:pPr>
          </w:p>
        </w:tc>
        <w:tc>
          <w:tcPr>
            <w:tcW w:w="1295" w:type="dxa"/>
          </w:tcPr>
          <w:p w:rsidR="00F778A3" w:rsidRDefault="00F778A3" w:rsidP="002F008B">
            <w:pPr>
              <w:jc w:val="both"/>
            </w:pPr>
          </w:p>
        </w:tc>
        <w:tc>
          <w:tcPr>
            <w:tcW w:w="1295" w:type="dxa"/>
          </w:tcPr>
          <w:p w:rsidR="00F778A3" w:rsidRDefault="00F778A3" w:rsidP="002F008B">
            <w:pPr>
              <w:jc w:val="both"/>
            </w:pPr>
          </w:p>
        </w:tc>
        <w:tc>
          <w:tcPr>
            <w:tcW w:w="1295" w:type="dxa"/>
          </w:tcPr>
          <w:p w:rsidR="00F778A3" w:rsidRDefault="00F778A3" w:rsidP="002F008B">
            <w:pPr>
              <w:jc w:val="both"/>
            </w:pPr>
          </w:p>
        </w:tc>
      </w:tr>
      <w:tr w:rsidR="00F778A3" w:rsidTr="00053C61">
        <w:tc>
          <w:tcPr>
            <w:tcW w:w="1294" w:type="dxa"/>
          </w:tcPr>
          <w:p w:rsidR="00F778A3" w:rsidRDefault="00F778A3" w:rsidP="002F008B">
            <w:pPr>
              <w:jc w:val="both"/>
            </w:pPr>
            <w:r>
              <w:t>CL</w:t>
            </w:r>
          </w:p>
        </w:tc>
        <w:tc>
          <w:tcPr>
            <w:tcW w:w="1294" w:type="dxa"/>
          </w:tcPr>
          <w:p w:rsidR="00F778A3" w:rsidRDefault="00F778A3" w:rsidP="002F008B">
            <w:pPr>
              <w:jc w:val="both"/>
            </w:pPr>
            <w:r>
              <w:t>12.000</w:t>
            </w:r>
          </w:p>
        </w:tc>
        <w:tc>
          <w:tcPr>
            <w:tcW w:w="1294" w:type="dxa"/>
          </w:tcPr>
          <w:p w:rsidR="00F778A3" w:rsidRDefault="00F778A3" w:rsidP="002F008B">
            <w:pPr>
              <w:jc w:val="both"/>
            </w:pPr>
            <w:r>
              <w:t>24.000</w:t>
            </w:r>
          </w:p>
        </w:tc>
        <w:tc>
          <w:tcPr>
            <w:tcW w:w="1295" w:type="dxa"/>
          </w:tcPr>
          <w:p w:rsidR="00F778A3" w:rsidRDefault="00F778A3" w:rsidP="002F008B">
            <w:pPr>
              <w:jc w:val="both"/>
            </w:pPr>
            <w:r>
              <w:t>51.000</w:t>
            </w:r>
          </w:p>
        </w:tc>
        <w:tc>
          <w:tcPr>
            <w:tcW w:w="1295" w:type="dxa"/>
          </w:tcPr>
          <w:p w:rsidR="00F778A3" w:rsidRDefault="00F778A3" w:rsidP="002F008B">
            <w:pPr>
              <w:jc w:val="both"/>
            </w:pPr>
            <w:r>
              <w:t>51.000</w:t>
            </w:r>
          </w:p>
        </w:tc>
        <w:tc>
          <w:tcPr>
            <w:tcW w:w="1295" w:type="dxa"/>
          </w:tcPr>
          <w:p w:rsidR="00F778A3" w:rsidRDefault="00F778A3" w:rsidP="002F008B">
            <w:pPr>
              <w:jc w:val="both"/>
            </w:pPr>
            <w:r>
              <w:t>51.000</w:t>
            </w:r>
          </w:p>
        </w:tc>
        <w:tc>
          <w:tcPr>
            <w:tcW w:w="1295" w:type="dxa"/>
          </w:tcPr>
          <w:p w:rsidR="00F778A3" w:rsidRDefault="00F778A3" w:rsidP="002F008B">
            <w:pPr>
              <w:jc w:val="both"/>
            </w:pPr>
            <w:r>
              <w:t>51.000</w:t>
            </w:r>
          </w:p>
        </w:tc>
      </w:tr>
      <w:tr w:rsidR="00F778A3" w:rsidTr="00053C61">
        <w:tc>
          <w:tcPr>
            <w:tcW w:w="1294" w:type="dxa"/>
          </w:tcPr>
          <w:p w:rsidR="00F778A3" w:rsidRDefault="00F778A3" w:rsidP="002F008B">
            <w:pPr>
              <w:jc w:val="both"/>
            </w:pPr>
            <w:r>
              <w:t>Impact SEC</w:t>
            </w:r>
          </w:p>
        </w:tc>
        <w:tc>
          <w:tcPr>
            <w:tcW w:w="1294" w:type="dxa"/>
          </w:tcPr>
          <w:p w:rsidR="00F778A3" w:rsidRDefault="00F778A3" w:rsidP="002F008B">
            <w:pPr>
              <w:jc w:val="both"/>
            </w:pPr>
            <w:r>
              <w:t>12.000</w:t>
            </w:r>
          </w:p>
        </w:tc>
        <w:tc>
          <w:tcPr>
            <w:tcW w:w="1294" w:type="dxa"/>
          </w:tcPr>
          <w:p w:rsidR="00F778A3" w:rsidRDefault="00F778A3" w:rsidP="002F008B">
            <w:pPr>
              <w:jc w:val="both"/>
            </w:pPr>
            <w:r>
              <w:t>24.000</w:t>
            </w:r>
          </w:p>
        </w:tc>
        <w:tc>
          <w:tcPr>
            <w:tcW w:w="1295" w:type="dxa"/>
          </w:tcPr>
          <w:p w:rsidR="00F778A3" w:rsidRDefault="00F778A3" w:rsidP="002F008B">
            <w:pPr>
              <w:jc w:val="both"/>
            </w:pPr>
            <w:r>
              <w:t>51.000</w:t>
            </w:r>
          </w:p>
        </w:tc>
        <w:tc>
          <w:tcPr>
            <w:tcW w:w="1295" w:type="dxa"/>
          </w:tcPr>
          <w:p w:rsidR="00F778A3" w:rsidRDefault="00F778A3" w:rsidP="002F008B">
            <w:pPr>
              <w:jc w:val="both"/>
            </w:pPr>
            <w:r>
              <w:t>51.000</w:t>
            </w:r>
          </w:p>
        </w:tc>
        <w:tc>
          <w:tcPr>
            <w:tcW w:w="1295" w:type="dxa"/>
          </w:tcPr>
          <w:p w:rsidR="00F778A3" w:rsidRDefault="00F778A3" w:rsidP="002F008B">
            <w:pPr>
              <w:jc w:val="both"/>
            </w:pPr>
            <w:r>
              <w:t>51.000</w:t>
            </w:r>
          </w:p>
        </w:tc>
        <w:tc>
          <w:tcPr>
            <w:tcW w:w="1295" w:type="dxa"/>
          </w:tcPr>
          <w:p w:rsidR="00F778A3" w:rsidRDefault="00F778A3" w:rsidP="002F008B">
            <w:pPr>
              <w:jc w:val="both"/>
            </w:pPr>
            <w:r>
              <w:t>51.000</w:t>
            </w:r>
          </w:p>
        </w:tc>
      </w:tr>
    </w:tbl>
    <w:p w:rsidR="00F778A3" w:rsidRDefault="00F778A3" w:rsidP="002F008B">
      <w:pPr>
        <w:jc w:val="both"/>
      </w:pPr>
      <w:r>
        <w:br/>
        <w:t>Concernant la réhabilitation de sites à réaménager situés dans les centralités des villes, il est prévu un montant global de 40 millions, qui seront transférés au départ de l’A.B. 01.02 du programme 10.08 (à savoir 4x10 millions sur les années 2021 à 2024, issue du Plan de relance, résilience et transition) vers une A.B. à créer du programme 16.03.</w:t>
      </w:r>
    </w:p>
    <w:p w:rsidR="00F778A3" w:rsidRPr="008A0022" w:rsidRDefault="00F778A3" w:rsidP="008A0022">
      <w:pPr>
        <w:pStyle w:val="Titre2"/>
        <w:rPr>
          <w:u w:val="single"/>
        </w:rPr>
      </w:pPr>
      <w:r w:rsidRPr="008A0022">
        <w:rPr>
          <w:u w:val="single"/>
        </w:rPr>
        <w:t>Objectifs de développement durable (ODD).</w:t>
      </w:r>
    </w:p>
    <w:tbl>
      <w:tblPr>
        <w:tblStyle w:val="Grilledutableau"/>
        <w:tblW w:w="0" w:type="auto"/>
        <w:tblLook w:val="04A0" w:firstRow="1" w:lastRow="0" w:firstColumn="1" w:lastColumn="0" w:noHBand="0" w:noVBand="1"/>
      </w:tblPr>
      <w:tblGrid>
        <w:gridCol w:w="704"/>
        <w:gridCol w:w="8358"/>
      </w:tblGrid>
      <w:tr w:rsidR="00F778A3" w:rsidTr="00053C61">
        <w:tc>
          <w:tcPr>
            <w:tcW w:w="704" w:type="dxa"/>
          </w:tcPr>
          <w:p w:rsidR="00F778A3" w:rsidRDefault="00F778A3" w:rsidP="002F008B">
            <w:pPr>
              <w:jc w:val="both"/>
            </w:pPr>
            <w:r>
              <w:t>N°</w:t>
            </w:r>
          </w:p>
        </w:tc>
        <w:tc>
          <w:tcPr>
            <w:tcW w:w="8358" w:type="dxa"/>
          </w:tcPr>
          <w:p w:rsidR="00F778A3" w:rsidRDefault="00F778A3" w:rsidP="002F008B">
            <w:pPr>
              <w:jc w:val="both"/>
            </w:pPr>
            <w:r>
              <w:t>Objectifs de développement durable</w:t>
            </w:r>
          </w:p>
        </w:tc>
      </w:tr>
      <w:tr w:rsidR="00F778A3" w:rsidTr="00053C61">
        <w:tc>
          <w:tcPr>
            <w:tcW w:w="704" w:type="dxa"/>
          </w:tcPr>
          <w:p w:rsidR="00F778A3" w:rsidRDefault="00F778A3" w:rsidP="002F008B">
            <w:pPr>
              <w:jc w:val="both"/>
            </w:pPr>
            <w:r>
              <w:t>1</w:t>
            </w:r>
          </w:p>
        </w:tc>
        <w:tc>
          <w:tcPr>
            <w:tcW w:w="8358" w:type="dxa"/>
          </w:tcPr>
          <w:p w:rsidR="00F778A3" w:rsidRDefault="00F778A3" w:rsidP="002F008B">
            <w:pPr>
              <w:jc w:val="both"/>
            </w:pPr>
            <w:r>
              <w:t>Eliminer la pauvreté sous toutes ses formes et partout dans le monde</w:t>
            </w:r>
          </w:p>
        </w:tc>
      </w:tr>
      <w:tr w:rsidR="00F778A3" w:rsidTr="00053C61">
        <w:tc>
          <w:tcPr>
            <w:tcW w:w="704" w:type="dxa"/>
          </w:tcPr>
          <w:p w:rsidR="00F778A3" w:rsidRDefault="00F778A3" w:rsidP="002F008B">
            <w:pPr>
              <w:jc w:val="both"/>
            </w:pPr>
            <w:r>
              <w:t>3</w:t>
            </w:r>
          </w:p>
        </w:tc>
        <w:tc>
          <w:tcPr>
            <w:tcW w:w="8358" w:type="dxa"/>
          </w:tcPr>
          <w:p w:rsidR="00F778A3" w:rsidRDefault="00F778A3" w:rsidP="002F008B">
            <w:pPr>
              <w:jc w:val="both"/>
            </w:pPr>
            <w:r>
              <w:t>Permettre à tous de vivre en bonne santé et promouvoir le bien-être de tous à tout âge</w:t>
            </w:r>
          </w:p>
        </w:tc>
      </w:tr>
      <w:tr w:rsidR="00F778A3" w:rsidTr="00053C61">
        <w:tc>
          <w:tcPr>
            <w:tcW w:w="704" w:type="dxa"/>
          </w:tcPr>
          <w:p w:rsidR="00F778A3" w:rsidRDefault="00F778A3" w:rsidP="002F008B">
            <w:pPr>
              <w:jc w:val="both"/>
            </w:pPr>
            <w:r>
              <w:t>4</w:t>
            </w:r>
          </w:p>
        </w:tc>
        <w:tc>
          <w:tcPr>
            <w:tcW w:w="8358" w:type="dxa"/>
          </w:tcPr>
          <w:p w:rsidR="00F778A3" w:rsidRDefault="00F778A3" w:rsidP="002F008B">
            <w:pPr>
              <w:jc w:val="both"/>
            </w:pPr>
            <w:r>
              <w:t>Assurer l’accès de tous à une éducation de qualité, sur un pied d’égalité, et promouvoir les possibilités d’apprentissage tout au long de la vie</w:t>
            </w:r>
          </w:p>
        </w:tc>
      </w:tr>
      <w:tr w:rsidR="00F778A3" w:rsidTr="00053C61">
        <w:tc>
          <w:tcPr>
            <w:tcW w:w="704" w:type="dxa"/>
          </w:tcPr>
          <w:p w:rsidR="00F778A3" w:rsidRDefault="00F778A3" w:rsidP="002F008B">
            <w:pPr>
              <w:jc w:val="both"/>
            </w:pPr>
            <w:r>
              <w:t>8</w:t>
            </w:r>
          </w:p>
        </w:tc>
        <w:tc>
          <w:tcPr>
            <w:tcW w:w="8358" w:type="dxa"/>
          </w:tcPr>
          <w:p w:rsidR="00F778A3" w:rsidRDefault="00F778A3" w:rsidP="002F008B">
            <w:pPr>
              <w:jc w:val="both"/>
            </w:pPr>
            <w:r>
              <w:t>Promouvoir une croissance économique soutenue, partagée et durable, le plein emploi productif et un travail décent pour tous</w:t>
            </w:r>
          </w:p>
        </w:tc>
      </w:tr>
      <w:tr w:rsidR="00F778A3" w:rsidTr="00053C61">
        <w:tc>
          <w:tcPr>
            <w:tcW w:w="704" w:type="dxa"/>
          </w:tcPr>
          <w:p w:rsidR="00F778A3" w:rsidRDefault="00F778A3" w:rsidP="002F008B">
            <w:pPr>
              <w:jc w:val="both"/>
            </w:pPr>
            <w:r>
              <w:t>11</w:t>
            </w:r>
          </w:p>
        </w:tc>
        <w:tc>
          <w:tcPr>
            <w:tcW w:w="8358" w:type="dxa"/>
          </w:tcPr>
          <w:p w:rsidR="00F778A3" w:rsidRDefault="00F778A3" w:rsidP="002F008B">
            <w:pPr>
              <w:jc w:val="both"/>
            </w:pPr>
            <w:r>
              <w:t>Faire en sorte que les villes et les établissements humains soient ouverts à tous, sûrs, résilients et durables</w:t>
            </w:r>
          </w:p>
        </w:tc>
      </w:tr>
      <w:tr w:rsidR="00F778A3" w:rsidTr="00053C61">
        <w:tc>
          <w:tcPr>
            <w:tcW w:w="704" w:type="dxa"/>
          </w:tcPr>
          <w:p w:rsidR="00F778A3" w:rsidRDefault="00F778A3" w:rsidP="002F008B">
            <w:pPr>
              <w:jc w:val="both"/>
            </w:pPr>
            <w:r>
              <w:t>13</w:t>
            </w:r>
          </w:p>
        </w:tc>
        <w:tc>
          <w:tcPr>
            <w:tcW w:w="8358" w:type="dxa"/>
          </w:tcPr>
          <w:p w:rsidR="00F778A3" w:rsidRDefault="00F778A3" w:rsidP="002F008B">
            <w:pPr>
              <w:jc w:val="both"/>
            </w:pPr>
            <w:r>
              <w:t>Prendre d’urgence des mesures pour lutter contre les changements climatiques et leurs répercussions</w:t>
            </w:r>
          </w:p>
        </w:tc>
      </w:tr>
      <w:tr w:rsidR="00F778A3" w:rsidTr="00053C61">
        <w:tc>
          <w:tcPr>
            <w:tcW w:w="704" w:type="dxa"/>
          </w:tcPr>
          <w:p w:rsidR="00F778A3" w:rsidRDefault="00F778A3" w:rsidP="002F008B">
            <w:pPr>
              <w:jc w:val="both"/>
            </w:pPr>
            <w:r>
              <w:t>16</w:t>
            </w:r>
          </w:p>
        </w:tc>
        <w:tc>
          <w:tcPr>
            <w:tcW w:w="8358" w:type="dxa"/>
          </w:tcPr>
          <w:p w:rsidR="00F778A3" w:rsidRDefault="00F778A3" w:rsidP="002F008B">
            <w:pPr>
              <w:jc w:val="both"/>
            </w:pPr>
            <w:r>
              <w:t>Promouvoir l’avènement de sociétés pacifiques et ouvertes à tous aux fins du développement durable, assurer l’accès de tous à la justice et mettre en place, à tous les niveaux, des institutions efficaces, responsables et ouvertes à tous</w:t>
            </w:r>
          </w:p>
        </w:tc>
      </w:tr>
    </w:tbl>
    <w:p w:rsidR="00F778A3" w:rsidRPr="008A0022" w:rsidRDefault="00F778A3" w:rsidP="008A0022">
      <w:pPr>
        <w:pStyle w:val="Titre2"/>
        <w:rPr>
          <w:u w:val="single"/>
        </w:rPr>
      </w:pPr>
      <w:r w:rsidRPr="008A0022">
        <w:rPr>
          <w:u w:val="single"/>
        </w:rPr>
        <w:t>Proposition de décision.</w:t>
      </w:r>
    </w:p>
    <w:p w:rsidR="00F778A3" w:rsidRDefault="00F778A3" w:rsidP="002F008B">
      <w:pPr>
        <w:jc w:val="both"/>
      </w:pPr>
      <w:r>
        <w:t>Le gouvernement charge en outre le Ministre de la Ville notamment de :</w:t>
      </w:r>
    </w:p>
    <w:p w:rsidR="00F778A3" w:rsidRDefault="00F778A3" w:rsidP="002F008B">
      <w:pPr>
        <w:pStyle w:val="Paragraphedeliste"/>
        <w:numPr>
          <w:ilvl w:val="0"/>
          <w:numId w:val="11"/>
        </w:numPr>
        <w:jc w:val="both"/>
      </w:pPr>
      <w:r>
        <w:t>Proposer, conjointement avec le Ministre de l’Energie, les plans d’actions des villes concernées au Gouvernement en vue de leur approbation ;</w:t>
      </w:r>
    </w:p>
    <w:p w:rsidR="00F778A3" w:rsidRDefault="00F778A3" w:rsidP="002F008B">
      <w:pPr>
        <w:pStyle w:val="Paragraphedeliste"/>
        <w:numPr>
          <w:ilvl w:val="0"/>
          <w:numId w:val="11"/>
        </w:numPr>
        <w:jc w:val="both"/>
      </w:pPr>
      <w:r w:rsidRPr="00D12131">
        <w:t>Solliciter la DAOV, DG TLPE, pour</w:t>
      </w:r>
      <w:r>
        <w:t xml:space="preserve"> qu’elle formule, avant la fin du 1</w:t>
      </w:r>
      <w:r w:rsidRPr="00D12131">
        <w:rPr>
          <w:vertAlign w:val="superscript"/>
        </w:rPr>
        <w:t>er</w:t>
      </w:r>
      <w:r>
        <w:t xml:space="preserve"> semestre 2021, des propositions d’amélioration, tant sur un plan réglementaire qu’administratif, des dispositifs concernant les PDU, en vue de répondre aux recommandations formulées par le pôle Aménagement du territoire du CESE ;</w:t>
      </w:r>
    </w:p>
    <w:p w:rsidR="00F778A3" w:rsidRDefault="00F778A3" w:rsidP="002F008B">
      <w:pPr>
        <w:pStyle w:val="Paragraphedeliste"/>
        <w:numPr>
          <w:ilvl w:val="0"/>
          <w:numId w:val="11"/>
        </w:numPr>
        <w:jc w:val="both"/>
      </w:pPr>
      <w:r>
        <w:t>Solliciter la DAOV pour qu’elle formule, avant la fin du 1</w:t>
      </w:r>
      <w:r w:rsidRPr="00D12131">
        <w:rPr>
          <w:vertAlign w:val="superscript"/>
        </w:rPr>
        <w:t>er</w:t>
      </w:r>
      <w:r>
        <w:t xml:space="preserve"> semestre 2021, des propositions d’amélioration des dispositifs de rénovation et de revitalisation urbaines et ce, tant au niveau réglementaire qu’au niveau de l’accompagnement administratif des bénéficiaires ;</w:t>
      </w:r>
    </w:p>
    <w:p w:rsidR="00F778A3" w:rsidRPr="00D12131" w:rsidRDefault="00F778A3" w:rsidP="002F008B">
      <w:pPr>
        <w:pStyle w:val="Paragraphedeliste"/>
        <w:numPr>
          <w:ilvl w:val="0"/>
          <w:numId w:val="11"/>
        </w:numPr>
        <w:jc w:val="both"/>
      </w:pPr>
      <w:r>
        <w:t>Confier à un groupe de travail intercabinets, élargi aux administrations et aux experts invités en fonction des thématiques abordées, le soin de tracer les contours du « package outils urbains » ;</w:t>
      </w:r>
    </w:p>
    <w:p w:rsidR="00F778A3" w:rsidRDefault="00F778A3" w:rsidP="002F008B">
      <w:pPr>
        <w:pStyle w:val="Paragraphedeliste"/>
        <w:numPr>
          <w:ilvl w:val="0"/>
          <w:numId w:val="11"/>
        </w:numPr>
        <w:jc w:val="both"/>
      </w:pPr>
      <w:r>
        <w:t>Lui soumettre, avant la fin de cette année, un projet d’arrêté portant sur une simplification et une dynamisation du dispositif relatif aux outils de revitalisation et rénovation urbaine ;</w:t>
      </w:r>
    </w:p>
    <w:p w:rsidR="00F778A3" w:rsidRPr="00741968" w:rsidRDefault="00F778A3" w:rsidP="002F008B">
      <w:pPr>
        <w:pStyle w:val="Paragraphedeliste"/>
        <w:numPr>
          <w:ilvl w:val="0"/>
          <w:numId w:val="11"/>
        </w:numPr>
        <w:jc w:val="both"/>
      </w:pPr>
      <w:r>
        <w:t>Lui soumettre un avant-projet de décret destiné à pérenniser le soutien régional à la Politique intégrée de la Ville.</w:t>
      </w:r>
    </w:p>
    <w:p w:rsidR="00F778A3" w:rsidRPr="008D7F58" w:rsidRDefault="00F778A3" w:rsidP="002F008B">
      <w:pPr>
        <w:jc w:val="both"/>
      </w:pPr>
    </w:p>
    <w:sectPr w:rsidR="00F778A3" w:rsidRPr="008D7F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34EB6"/>
    <w:multiLevelType w:val="hybridMultilevel"/>
    <w:tmpl w:val="9BC456C6"/>
    <w:lvl w:ilvl="0" w:tplc="CD8AD9D0">
      <w:start w:val="9"/>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DA64730"/>
    <w:multiLevelType w:val="hybridMultilevel"/>
    <w:tmpl w:val="E0A0FD4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18344596"/>
    <w:multiLevelType w:val="hybridMultilevel"/>
    <w:tmpl w:val="BAFE42B2"/>
    <w:lvl w:ilvl="0" w:tplc="9D6A870E">
      <w:start w:val="5"/>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A846D33"/>
    <w:multiLevelType w:val="hybridMultilevel"/>
    <w:tmpl w:val="ED00A66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3FEE6182"/>
    <w:multiLevelType w:val="hybridMultilevel"/>
    <w:tmpl w:val="DACA183C"/>
    <w:lvl w:ilvl="0" w:tplc="8D603146">
      <w:start w:val="3"/>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53F5270B"/>
    <w:multiLevelType w:val="hybridMultilevel"/>
    <w:tmpl w:val="3EC2E380"/>
    <w:lvl w:ilvl="0" w:tplc="258EFFE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5B20354F"/>
    <w:multiLevelType w:val="hybridMultilevel"/>
    <w:tmpl w:val="A364E09C"/>
    <w:lvl w:ilvl="0" w:tplc="E4727FCE">
      <w:start w:val="2"/>
      <w:numFmt w:val="bullet"/>
      <w:lvlText w:val=""/>
      <w:lvlJc w:val="left"/>
      <w:pPr>
        <w:ind w:left="1776" w:hanging="360"/>
      </w:pPr>
      <w:rPr>
        <w:rFonts w:ascii="Symbol" w:eastAsiaTheme="minorHAnsi" w:hAnsi="Symbol" w:cstheme="minorBidi"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7">
    <w:nsid w:val="61C22C75"/>
    <w:multiLevelType w:val="hybridMultilevel"/>
    <w:tmpl w:val="72E2ADDC"/>
    <w:lvl w:ilvl="0" w:tplc="34701596">
      <w:start w:val="73"/>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65360F8F"/>
    <w:multiLevelType w:val="hybridMultilevel"/>
    <w:tmpl w:val="99F0F288"/>
    <w:lvl w:ilvl="0" w:tplc="7206D810">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6C08502A"/>
    <w:multiLevelType w:val="hybridMultilevel"/>
    <w:tmpl w:val="37C4D2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6F486774"/>
    <w:multiLevelType w:val="hybridMultilevel"/>
    <w:tmpl w:val="0096D6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74680362"/>
    <w:multiLevelType w:val="hybridMultilevel"/>
    <w:tmpl w:val="DAAEEE3A"/>
    <w:lvl w:ilvl="0" w:tplc="CAF0057C">
      <w:start w:val="2"/>
      <w:numFmt w:val="bullet"/>
      <w:lvlText w:val=""/>
      <w:lvlJc w:val="left"/>
      <w:pPr>
        <w:ind w:left="1080" w:hanging="360"/>
      </w:pPr>
      <w:rPr>
        <w:rFonts w:ascii="Symbol" w:eastAsiaTheme="minorHAnsi" w:hAnsi="Symbol"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nsid w:val="77AD081D"/>
    <w:multiLevelType w:val="hybridMultilevel"/>
    <w:tmpl w:val="7DB4CA9C"/>
    <w:lvl w:ilvl="0" w:tplc="475CE526">
      <w:start w:val="1"/>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12"/>
  </w:num>
  <w:num w:numId="6">
    <w:abstractNumId w:val="9"/>
  </w:num>
  <w:num w:numId="7">
    <w:abstractNumId w:val="4"/>
  </w:num>
  <w:num w:numId="8">
    <w:abstractNumId w:val="2"/>
  </w:num>
  <w:num w:numId="9">
    <w:abstractNumId w:val="0"/>
  </w:num>
  <w:num w:numId="10">
    <w:abstractNumId w:val="1"/>
  </w:num>
  <w:num w:numId="11">
    <w:abstractNumId w:val="5"/>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3E2"/>
    <w:rsid w:val="000A0076"/>
    <w:rsid w:val="000B797C"/>
    <w:rsid w:val="000F53CC"/>
    <w:rsid w:val="000F5AAF"/>
    <w:rsid w:val="001465E3"/>
    <w:rsid w:val="00193D9B"/>
    <w:rsid w:val="001953E2"/>
    <w:rsid w:val="001B5977"/>
    <w:rsid w:val="001D3CDD"/>
    <w:rsid w:val="00243D10"/>
    <w:rsid w:val="002B189E"/>
    <w:rsid w:val="002D13AB"/>
    <w:rsid w:val="002F008B"/>
    <w:rsid w:val="003216B5"/>
    <w:rsid w:val="0039719A"/>
    <w:rsid w:val="003B5326"/>
    <w:rsid w:val="003C69C4"/>
    <w:rsid w:val="003D7292"/>
    <w:rsid w:val="003F720A"/>
    <w:rsid w:val="00441134"/>
    <w:rsid w:val="00491BE0"/>
    <w:rsid w:val="004B7FD1"/>
    <w:rsid w:val="0054112C"/>
    <w:rsid w:val="00542B55"/>
    <w:rsid w:val="005D42BD"/>
    <w:rsid w:val="005D50A6"/>
    <w:rsid w:val="00665283"/>
    <w:rsid w:val="006720B9"/>
    <w:rsid w:val="00681E88"/>
    <w:rsid w:val="006A5AC8"/>
    <w:rsid w:val="007B6597"/>
    <w:rsid w:val="00830FF1"/>
    <w:rsid w:val="00864D21"/>
    <w:rsid w:val="00897249"/>
    <w:rsid w:val="008A0022"/>
    <w:rsid w:val="008B384F"/>
    <w:rsid w:val="008D7F58"/>
    <w:rsid w:val="00AC5E92"/>
    <w:rsid w:val="00B04642"/>
    <w:rsid w:val="00B16330"/>
    <w:rsid w:val="00BB4F23"/>
    <w:rsid w:val="00C1460E"/>
    <w:rsid w:val="00C42112"/>
    <w:rsid w:val="00C8017C"/>
    <w:rsid w:val="00CC2031"/>
    <w:rsid w:val="00CC2877"/>
    <w:rsid w:val="00CF0A38"/>
    <w:rsid w:val="00D12713"/>
    <w:rsid w:val="00D328D9"/>
    <w:rsid w:val="00D41496"/>
    <w:rsid w:val="00D455AE"/>
    <w:rsid w:val="00D84A7C"/>
    <w:rsid w:val="00DC7028"/>
    <w:rsid w:val="00DD4949"/>
    <w:rsid w:val="00DF15F8"/>
    <w:rsid w:val="00E33DE3"/>
    <w:rsid w:val="00E771D2"/>
    <w:rsid w:val="00EF4C91"/>
    <w:rsid w:val="00F64DB8"/>
    <w:rsid w:val="00F778A3"/>
    <w:rsid w:val="00F866D6"/>
    <w:rsid w:val="00FA3CF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E9CE0-4A51-4C6F-81D8-A23F4897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953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953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1953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D414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D4149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53E2"/>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1953E2"/>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1953E2"/>
    <w:rPr>
      <w:rFonts w:asciiTheme="majorHAnsi" w:eastAsiaTheme="majorEastAsia" w:hAnsiTheme="majorHAnsi" w:cstheme="majorBidi"/>
      <w:color w:val="1F4D78" w:themeColor="accent1" w:themeShade="7F"/>
      <w:sz w:val="24"/>
      <w:szCs w:val="24"/>
    </w:rPr>
  </w:style>
  <w:style w:type="paragraph" w:styleId="Titre">
    <w:name w:val="Title"/>
    <w:basedOn w:val="Normal"/>
    <w:next w:val="Normal"/>
    <w:link w:val="TitreCar"/>
    <w:uiPriority w:val="10"/>
    <w:qFormat/>
    <w:rsid w:val="001953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53E2"/>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5D50A6"/>
    <w:pPr>
      <w:ind w:left="720"/>
      <w:contextualSpacing/>
    </w:pPr>
  </w:style>
  <w:style w:type="table" w:styleId="Grilledutableau">
    <w:name w:val="Table Grid"/>
    <w:basedOn w:val="TableauNormal"/>
    <w:uiPriority w:val="39"/>
    <w:rsid w:val="00F77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4Car">
    <w:name w:val="Titre 4 Car"/>
    <w:basedOn w:val="Policepardfaut"/>
    <w:link w:val="Titre4"/>
    <w:uiPriority w:val="9"/>
    <w:rsid w:val="00D41496"/>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D41496"/>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AB7EC6C3</Template>
  <TotalTime>0</TotalTime>
  <Pages>17</Pages>
  <Words>6454</Words>
  <Characters>35503</Characters>
  <Application>Microsoft Office Word</Application>
  <DocSecurity>4</DocSecurity>
  <Lines>295</Lines>
  <Paragraphs>83</Paragraphs>
  <ScaleCrop>false</ScaleCrop>
  <HeadingPairs>
    <vt:vector size="2" baseType="variant">
      <vt:variant>
        <vt:lpstr>Titre</vt:lpstr>
      </vt:variant>
      <vt:variant>
        <vt:i4>1</vt:i4>
      </vt:variant>
    </vt:vector>
  </HeadingPairs>
  <TitlesOfParts>
    <vt:vector size="1" baseType="lpstr">
      <vt:lpstr/>
    </vt:vector>
  </TitlesOfParts>
  <Company>MONS</Company>
  <LinksUpToDate>false</LinksUpToDate>
  <CharactersWithSpaces>41874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Rousseaux Camille</dc:creator>
  <cp:keywords/>
  <dc:description/>
  <cp:lastModifiedBy>Moyart Laurence</cp:lastModifiedBy>
  <cp:revision>2</cp:revision>
  <dcterms:created xsi:type="dcterms:W3CDTF">2021-05-07T13:33:00Z</dcterms:created>
  <dcterms:modified xsi:type="dcterms:W3CDTF">2021-05-07T13:33:00Z</dcterms:modified>
</cp:coreProperties>
</file>