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Grilledutableau"/>
        <w:tblW w:w="0" w:type="auto"/>
        <w:tblLook w:val="04A0" w:firstRow="1" w:lastRow="0" w:firstColumn="1" w:lastColumn="0" w:noHBand="0" w:noVBand="1"/>
      </w:tblPr>
      <w:tblGrid>
        <w:gridCol w:w="9062"/>
      </w:tblGrid>
      <w:tr w:rsidR="00D2590E" w:rsidRPr="00D2590E" w:rsidTr="00D2590E">
        <w:tc>
          <w:tcPr>
            <w:tcW w:w="9062" w:type="dxa"/>
          </w:tcPr>
          <w:p w:rsidR="00D2590E" w:rsidRPr="00D2590E" w:rsidRDefault="00187796" w:rsidP="00187796">
            <w:pPr>
              <w:jc w:val="center"/>
            </w:pPr>
            <w:r>
              <w:rPr>
                <w:sz w:val="28"/>
                <w:szCs w:val="28"/>
              </w:rPr>
              <w:t>D</w:t>
            </w:r>
            <w:r w:rsidR="00D2590E" w:rsidRPr="00D2590E">
              <w:rPr>
                <w:sz w:val="28"/>
                <w:szCs w:val="28"/>
              </w:rPr>
              <w:t>emande d’exemption d’évaluation environnementale dans le cadre d’une demande de reconnaissance SAR</w:t>
            </w:r>
          </w:p>
        </w:tc>
      </w:tr>
    </w:tbl>
    <w:p w:rsidR="00D2590E" w:rsidRDefault="00D2590E" w:rsidP="00D2590E"/>
    <w:p w:rsidR="0065647B" w:rsidRDefault="0065647B" w:rsidP="00A44171">
      <w:pPr>
        <w:jc w:val="both"/>
      </w:pPr>
      <w:r w:rsidRPr="0065647B">
        <w:rPr>
          <w:u w:val="single"/>
        </w:rPr>
        <w:t>Objet</w:t>
      </w:r>
      <w:r>
        <w:t xml:space="preserve"> : Reconnaissance du SAR dit </w:t>
      </w:r>
      <w:r w:rsidRPr="00187796">
        <w:rPr>
          <w:highlight w:val="yellow"/>
        </w:rPr>
        <w:t>« </w:t>
      </w:r>
      <w:r w:rsidR="00187796" w:rsidRPr="00187796">
        <w:rPr>
          <w:highlight w:val="yellow"/>
        </w:rPr>
        <w:t>Ancien Aldi</w:t>
      </w:r>
      <w:r w:rsidRPr="00187796">
        <w:rPr>
          <w:highlight w:val="yellow"/>
        </w:rPr>
        <w:t xml:space="preserve"> » à </w:t>
      </w:r>
      <w:r w:rsidR="00174771" w:rsidRPr="00187796">
        <w:rPr>
          <w:highlight w:val="yellow"/>
        </w:rPr>
        <w:t>« </w:t>
      </w:r>
      <w:r w:rsidR="00187796" w:rsidRPr="00187796">
        <w:rPr>
          <w:highlight w:val="yellow"/>
        </w:rPr>
        <w:t>MONS</w:t>
      </w:r>
      <w:r w:rsidR="00A44171" w:rsidRPr="00187796">
        <w:rPr>
          <w:highlight w:val="yellow"/>
        </w:rPr>
        <w:t xml:space="preserve"> (</w:t>
      </w:r>
      <w:r w:rsidR="00187796" w:rsidRPr="00187796">
        <w:rPr>
          <w:highlight w:val="yellow"/>
        </w:rPr>
        <w:t>Jemappes</w:t>
      </w:r>
      <w:r w:rsidR="00A44171" w:rsidRPr="00187796">
        <w:rPr>
          <w:highlight w:val="yellow"/>
        </w:rPr>
        <w:t>)</w:t>
      </w:r>
      <w:r w:rsidR="00174771" w:rsidRPr="00187796">
        <w:rPr>
          <w:highlight w:val="yellow"/>
        </w:rPr>
        <w:t> »</w:t>
      </w:r>
      <w:r w:rsidR="00A44171" w:rsidRPr="00174771">
        <w:t xml:space="preserve"> </w:t>
      </w:r>
      <w:r>
        <w:t>- Demande d’exemption d’évaluation environnementale</w:t>
      </w:r>
    </w:p>
    <w:p w:rsidR="0065647B" w:rsidRDefault="003964AB" w:rsidP="0065647B">
      <w:pPr>
        <w:jc w:val="both"/>
      </w:pPr>
      <w:r>
        <w:t xml:space="preserve">Dans le cadre du dossier mieux défini en objet, nous sollicitons auprès de vos services une demande d’exemption d’évaluation environnementale, en application de la circulaire du 10 août 2020 relative à l’intégration de l’évaluation des incidences </w:t>
      </w:r>
      <w:r w:rsidR="004511E6">
        <w:t>environnementales</w:t>
      </w:r>
      <w:r>
        <w:t xml:space="preserve"> découlant de la directive 2001/42/CE</w:t>
      </w:r>
      <w:r w:rsidR="004511E6">
        <w:t xml:space="preserve"> du 27 juin 2001 relative à l’évaluation des incidences de certains plans et programmes sur l’environnement.</w:t>
      </w:r>
    </w:p>
    <w:p w:rsidR="00D2590E" w:rsidRDefault="00D2590E" w:rsidP="0065647B">
      <w:pPr>
        <w:jc w:val="both"/>
      </w:pPr>
      <w:r>
        <w:t>La circulaire du 10 août 2020 relative à l’intégration de l’évaluation des incidences environnementales stipule que « </w:t>
      </w:r>
      <w:r w:rsidRPr="0065647B">
        <w:rPr>
          <w:i/>
          <w:iCs/>
        </w:rPr>
        <w:t>le dossier de SAR (…) est accompagné d’une proposition de contenu de Rapport sur les In</w:t>
      </w:r>
      <w:r w:rsidR="0065647B" w:rsidRPr="0065647B">
        <w:rPr>
          <w:i/>
          <w:iCs/>
        </w:rPr>
        <w:t>cidences Environnementales (RIE) ou, le cas échéant, d’une demande d’exemption de l’évaluation des incidences environnementales motivée, fondée sur la circonstance prévue à l’article 3 de la directive 2001/42/CE, que le périmètre ne constitue qu’une modification mineure des plans et schémas applicables en son sein et que sa création n’est pas susceptible d’engendrer des incidences notables sur l’environnement</w:t>
      </w:r>
      <w:r w:rsidR="0065647B">
        <w:t>.</w:t>
      </w:r>
    </w:p>
    <w:p w:rsidR="004511E6" w:rsidRDefault="004511E6" w:rsidP="0065647B">
      <w:pPr>
        <w:jc w:val="both"/>
      </w:pPr>
      <w:r>
        <w:t>Ces deux derniers points sont développés ci-dessous :</w:t>
      </w:r>
    </w:p>
    <w:p w:rsidR="004511E6" w:rsidRPr="00A23910" w:rsidRDefault="004511E6" w:rsidP="004511E6">
      <w:pPr>
        <w:pStyle w:val="Paragraphedeliste"/>
        <w:numPr>
          <w:ilvl w:val="0"/>
          <w:numId w:val="1"/>
        </w:numPr>
        <w:jc w:val="both"/>
        <w:rPr>
          <w:b/>
          <w:bCs/>
          <w:sz w:val="24"/>
          <w:szCs w:val="24"/>
          <w:u w:val="single"/>
        </w:rPr>
      </w:pPr>
      <w:r w:rsidRPr="00A23910">
        <w:rPr>
          <w:b/>
          <w:bCs/>
          <w:sz w:val="24"/>
          <w:szCs w:val="24"/>
          <w:u w:val="single"/>
        </w:rPr>
        <w:t>Le périmètre SAR dit « </w:t>
      </w:r>
      <w:r w:rsidR="00187796" w:rsidRPr="00187796">
        <w:rPr>
          <w:b/>
          <w:bCs/>
          <w:sz w:val="24"/>
          <w:szCs w:val="24"/>
          <w:highlight w:val="yellow"/>
          <w:u w:val="single"/>
        </w:rPr>
        <w:t>Ancien Aldi</w:t>
      </w:r>
      <w:r w:rsidRPr="00A23910">
        <w:rPr>
          <w:b/>
          <w:bCs/>
          <w:sz w:val="24"/>
          <w:szCs w:val="24"/>
          <w:u w:val="single"/>
        </w:rPr>
        <w:t xml:space="preserve"> » ne constitue qu’une modification mineure </w:t>
      </w:r>
      <w:r w:rsidR="005A0BC3">
        <w:rPr>
          <w:b/>
          <w:bCs/>
          <w:sz w:val="24"/>
          <w:szCs w:val="24"/>
          <w:u w:val="single"/>
        </w:rPr>
        <w:t>du plan de secteur</w:t>
      </w:r>
      <w:r w:rsidRPr="00A23910">
        <w:rPr>
          <w:b/>
          <w:bCs/>
          <w:sz w:val="24"/>
          <w:szCs w:val="24"/>
          <w:u w:val="single"/>
        </w:rPr>
        <w:t> :</w:t>
      </w:r>
    </w:p>
    <w:p w:rsidR="00A23910" w:rsidRDefault="00A23910" w:rsidP="00A23910">
      <w:pPr>
        <w:pStyle w:val="Paragraphedeliste"/>
        <w:ind w:left="360"/>
        <w:jc w:val="both"/>
      </w:pPr>
    </w:p>
    <w:p w:rsidR="00900C99" w:rsidRDefault="00900C99" w:rsidP="00A23910">
      <w:pPr>
        <w:pStyle w:val="Paragraphedeliste"/>
        <w:ind w:left="360"/>
        <w:jc w:val="both"/>
      </w:pPr>
      <w:r>
        <w:t>La circulaire du 10 août 2020 relative à l’intégration de l’évaluation des incidences environnementales précise également qu’« </w:t>
      </w:r>
      <w:r w:rsidRPr="00900C99">
        <w:rPr>
          <w:i/>
          <w:iCs/>
        </w:rPr>
        <w:t>en réalité, un SAR (…) ne modifie pas un plan ou un schéma en tant que tel mais il permet au Fonctionnaire délégué compétent de déroger au plan de secteur par le biais de l’application des articles D.IV.11 et D.IV.13 : c’est l’effet de cette possibilité de dérogation qu’il convient de prendre en compte pour motiver la demande d’exemption, et ce pour tout le périmètre concerné </w:t>
      </w:r>
      <w:r>
        <w:t>»</w:t>
      </w:r>
    </w:p>
    <w:p w:rsidR="00187796" w:rsidRDefault="00187796" w:rsidP="00900C99">
      <w:pPr>
        <w:pStyle w:val="Paragraphedeliste"/>
        <w:numPr>
          <w:ilvl w:val="0"/>
          <w:numId w:val="4"/>
        </w:numPr>
        <w:jc w:val="both"/>
        <w:rPr>
          <w:highlight w:val="yellow"/>
        </w:rPr>
      </w:pPr>
      <w:r w:rsidRPr="00B52E9C">
        <w:rPr>
          <w:highlight w:val="yellow"/>
        </w:rPr>
        <w:t>En l’espèce, le site de l’Ancien Aldi est entièrement repris en zone d’habitat au plan de secteur. Comme le stipule l’article D.II.</w:t>
      </w:r>
      <w:r w:rsidR="00625588" w:rsidRPr="00B52E9C">
        <w:rPr>
          <w:highlight w:val="yellow"/>
        </w:rPr>
        <w:t>24 du Code du Développement Territorial (</w:t>
      </w:r>
      <w:proofErr w:type="spellStart"/>
      <w:r w:rsidR="00625588" w:rsidRPr="00B52E9C">
        <w:rPr>
          <w:highlight w:val="yellow"/>
        </w:rPr>
        <w:t>CoDT</w:t>
      </w:r>
      <w:proofErr w:type="spellEnd"/>
      <w:r w:rsidR="00625588" w:rsidRPr="00B52E9C">
        <w:rPr>
          <w:highlight w:val="yellow"/>
        </w:rPr>
        <w:t>), « </w:t>
      </w:r>
      <w:r w:rsidR="00625588" w:rsidRPr="00B52E9C">
        <w:rPr>
          <w:i/>
          <w:highlight w:val="yellow"/>
        </w:rPr>
        <w:t>c</w:t>
      </w:r>
      <w:r w:rsidRPr="00B52E9C">
        <w:rPr>
          <w:i/>
          <w:highlight w:val="yellow"/>
        </w:rPr>
        <w:t xml:space="preserve">ette zone </w:t>
      </w:r>
      <w:r w:rsidR="00625588" w:rsidRPr="00B52E9C">
        <w:rPr>
          <w:b/>
          <w:i/>
          <w:highlight w:val="yellow"/>
          <w:u w:val="single"/>
        </w:rPr>
        <w:t>doit</w:t>
      </w:r>
      <w:r w:rsidR="00625588" w:rsidRPr="00B52E9C">
        <w:rPr>
          <w:i/>
          <w:highlight w:val="yellow"/>
        </w:rPr>
        <w:t xml:space="preserve"> aussi accueillir des espaces verts publics</w:t>
      </w:r>
      <w:r w:rsidR="00625588" w:rsidRPr="00B52E9C">
        <w:rPr>
          <w:highlight w:val="yellow"/>
        </w:rPr>
        <w:t> ».</w:t>
      </w:r>
      <w:r w:rsidRPr="00B52E9C">
        <w:rPr>
          <w:highlight w:val="yellow"/>
        </w:rPr>
        <w:t xml:space="preserve"> </w:t>
      </w:r>
      <w:r w:rsidR="00AC5406" w:rsidRPr="00B52E9C">
        <w:rPr>
          <w:highlight w:val="yellow"/>
        </w:rPr>
        <w:t>Le projet de réaménagement porté dans le cadre de ce</w:t>
      </w:r>
      <w:r w:rsidR="005649C3" w:rsidRPr="00B52E9C">
        <w:rPr>
          <w:highlight w:val="yellow"/>
        </w:rPr>
        <w:t>tte demande</w:t>
      </w:r>
      <w:r w:rsidR="00AC5406" w:rsidRPr="00B52E9C">
        <w:rPr>
          <w:highlight w:val="yellow"/>
        </w:rPr>
        <w:t xml:space="preserve"> est donc conforme au plan de secteur. Il renforcera la destination principale du quartier</w:t>
      </w:r>
      <w:r w:rsidR="00B52E9C" w:rsidRPr="00B52E9C">
        <w:rPr>
          <w:highlight w:val="yellow"/>
        </w:rPr>
        <w:t xml:space="preserve"> aujourd’hui totalement privé d’espaces verts publics</w:t>
      </w:r>
      <w:r w:rsidR="0098583F" w:rsidRPr="00B52E9C">
        <w:rPr>
          <w:highlight w:val="yellow"/>
        </w:rPr>
        <w:t xml:space="preserve"> et sera totalement </w:t>
      </w:r>
      <w:r w:rsidRPr="00B52E9C">
        <w:rPr>
          <w:highlight w:val="yellow"/>
        </w:rPr>
        <w:t xml:space="preserve">compatible avec </w:t>
      </w:r>
      <w:r w:rsidR="0098583F" w:rsidRPr="00B52E9C">
        <w:rPr>
          <w:highlight w:val="yellow"/>
        </w:rPr>
        <w:t>le voisinage</w:t>
      </w:r>
      <w:r w:rsidR="00781BAC">
        <w:rPr>
          <w:highlight w:val="yellow"/>
        </w:rPr>
        <w:t>,</w:t>
      </w:r>
      <w:r w:rsidR="0098583F" w:rsidRPr="00B52E9C">
        <w:rPr>
          <w:highlight w:val="yellow"/>
        </w:rPr>
        <w:t xml:space="preserve"> </w:t>
      </w:r>
      <w:r w:rsidR="00781BAC">
        <w:rPr>
          <w:highlight w:val="yellow"/>
        </w:rPr>
        <w:t xml:space="preserve">à la densité d’habitat élevée et </w:t>
      </w:r>
      <w:r w:rsidR="0098583F" w:rsidRPr="00B52E9C">
        <w:rPr>
          <w:highlight w:val="yellow"/>
        </w:rPr>
        <w:t>composé de nombreuses habitations</w:t>
      </w:r>
      <w:r w:rsidR="00B52E9C" w:rsidRPr="00B52E9C">
        <w:rPr>
          <w:highlight w:val="yellow"/>
        </w:rPr>
        <w:t xml:space="preserve"> étroites et bénéficiant de peu (voire pas) d’espaces verts privatifs.</w:t>
      </w:r>
    </w:p>
    <w:p w:rsidR="00900C99" w:rsidRDefault="00900C99" w:rsidP="00900C99">
      <w:pPr>
        <w:pStyle w:val="Paragraphedeliste"/>
        <w:ind w:left="1440"/>
        <w:jc w:val="both"/>
      </w:pPr>
    </w:p>
    <w:p w:rsidR="004511E6" w:rsidRPr="00A23910" w:rsidRDefault="004511E6" w:rsidP="004511E6">
      <w:pPr>
        <w:pStyle w:val="Paragraphedeliste"/>
        <w:numPr>
          <w:ilvl w:val="0"/>
          <w:numId w:val="1"/>
        </w:numPr>
        <w:jc w:val="both"/>
        <w:rPr>
          <w:b/>
          <w:bCs/>
          <w:sz w:val="24"/>
          <w:szCs w:val="24"/>
          <w:u w:val="single"/>
        </w:rPr>
      </w:pPr>
      <w:bookmarkStart w:id="0" w:name="_Hlk57825585"/>
      <w:r w:rsidRPr="00A23910">
        <w:rPr>
          <w:b/>
          <w:bCs/>
          <w:sz w:val="24"/>
          <w:szCs w:val="24"/>
          <w:u w:val="single"/>
        </w:rPr>
        <w:t>La création du périmètre SAR dit « </w:t>
      </w:r>
      <w:r w:rsidR="003E2513" w:rsidRPr="00187796">
        <w:rPr>
          <w:b/>
          <w:bCs/>
          <w:sz w:val="24"/>
          <w:szCs w:val="24"/>
          <w:highlight w:val="yellow"/>
          <w:u w:val="single"/>
        </w:rPr>
        <w:t>Ancien Aldi</w:t>
      </w:r>
      <w:r w:rsidR="003E2513" w:rsidRPr="00A23910">
        <w:rPr>
          <w:b/>
          <w:bCs/>
          <w:sz w:val="24"/>
          <w:szCs w:val="24"/>
          <w:u w:val="single"/>
        </w:rPr>
        <w:t> </w:t>
      </w:r>
      <w:r w:rsidRPr="00A23910">
        <w:rPr>
          <w:b/>
          <w:bCs/>
          <w:sz w:val="24"/>
          <w:szCs w:val="24"/>
          <w:u w:val="single"/>
        </w:rPr>
        <w:t xml:space="preserve">» </w:t>
      </w:r>
      <w:bookmarkEnd w:id="0"/>
      <w:r w:rsidRPr="00A23910">
        <w:rPr>
          <w:b/>
          <w:bCs/>
          <w:sz w:val="24"/>
          <w:szCs w:val="24"/>
          <w:u w:val="single"/>
        </w:rPr>
        <w:t>n’est pas susceptible d’engendrer des incidences notables sur l’environnement</w:t>
      </w:r>
    </w:p>
    <w:p w:rsidR="004511E6" w:rsidRDefault="004511E6" w:rsidP="00A23910">
      <w:pPr>
        <w:ind w:left="360"/>
        <w:jc w:val="both"/>
      </w:pPr>
      <w:r>
        <w:t>La circulaire du 10 août relative à l’intégration de l’évaluation des incidences environnementales précise également que « </w:t>
      </w:r>
      <w:r w:rsidRPr="004511E6">
        <w:rPr>
          <w:i/>
          <w:iCs/>
        </w:rPr>
        <w:t>l’ampleur probable des incidences est déterminé</w:t>
      </w:r>
      <w:r>
        <w:rPr>
          <w:i/>
          <w:iCs/>
        </w:rPr>
        <w:t>e</w:t>
      </w:r>
      <w:r w:rsidRPr="004511E6">
        <w:rPr>
          <w:i/>
          <w:iCs/>
        </w:rPr>
        <w:t>, par analogie, par rapport aux critères visés à l’article D.VIII.32 </w:t>
      </w:r>
      <w:r>
        <w:t>»</w:t>
      </w:r>
    </w:p>
    <w:p w:rsidR="004511E6" w:rsidRDefault="004511E6" w:rsidP="00A23910">
      <w:pPr>
        <w:ind w:left="360"/>
        <w:jc w:val="both"/>
      </w:pPr>
      <w:r>
        <w:lastRenderedPageBreak/>
        <w:t xml:space="preserve">L’article D.VIII.32 du CoDT précise que pour déterminer si le périmètre de SAR est susceptible d’avoir des incidences non négligeables sur l’environnement, il est tenu compte des critères </w:t>
      </w:r>
      <w:r w:rsidR="005A0BC3">
        <w:t xml:space="preserve">suivants, </w:t>
      </w:r>
      <w:r>
        <w:t>permettant de déterminer l’ampleur probable des incidences</w:t>
      </w:r>
      <w:r w:rsidR="005A0BC3">
        <w:t xml:space="preserve"> </w:t>
      </w:r>
      <w:r>
        <w:t>:</w:t>
      </w:r>
    </w:p>
    <w:p w:rsidR="00900C99" w:rsidRPr="00A23910" w:rsidRDefault="00900C99" w:rsidP="00A23910">
      <w:pPr>
        <w:ind w:left="360"/>
        <w:jc w:val="both"/>
        <w:rPr>
          <w:i/>
          <w:iCs/>
          <w:sz w:val="24"/>
          <w:szCs w:val="24"/>
          <w:u w:val="single"/>
        </w:rPr>
      </w:pPr>
      <w:r w:rsidRPr="00A23910">
        <w:rPr>
          <w:i/>
          <w:iCs/>
          <w:sz w:val="24"/>
          <w:szCs w:val="24"/>
          <w:u w:val="single"/>
        </w:rPr>
        <w:t xml:space="preserve">1° les caractéristiques </w:t>
      </w:r>
      <w:r w:rsidR="00A44171" w:rsidRPr="00A23910">
        <w:rPr>
          <w:i/>
          <w:iCs/>
          <w:sz w:val="24"/>
          <w:szCs w:val="24"/>
          <w:u w:val="single"/>
        </w:rPr>
        <w:t>du périmètre SAR dit « </w:t>
      </w:r>
      <w:r w:rsidR="006D0D28" w:rsidRPr="006D0D28">
        <w:rPr>
          <w:i/>
          <w:iCs/>
          <w:sz w:val="24"/>
          <w:szCs w:val="24"/>
          <w:highlight w:val="yellow"/>
          <w:u w:val="single"/>
        </w:rPr>
        <w:t>Ancien Aldi</w:t>
      </w:r>
      <w:r w:rsidR="006D0D28" w:rsidRPr="006D0D28">
        <w:rPr>
          <w:i/>
          <w:iCs/>
          <w:sz w:val="24"/>
          <w:szCs w:val="24"/>
          <w:u w:val="single"/>
        </w:rPr>
        <w:t> </w:t>
      </w:r>
      <w:r w:rsidR="00A44171" w:rsidRPr="00A23910">
        <w:rPr>
          <w:i/>
          <w:iCs/>
          <w:sz w:val="24"/>
          <w:szCs w:val="24"/>
          <w:u w:val="single"/>
        </w:rPr>
        <w:t>»</w:t>
      </w:r>
      <w:r w:rsidRPr="00A23910">
        <w:rPr>
          <w:i/>
          <w:iCs/>
          <w:sz w:val="24"/>
          <w:szCs w:val="24"/>
          <w:u w:val="single"/>
        </w:rPr>
        <w:t xml:space="preserve">, notamment : </w:t>
      </w:r>
    </w:p>
    <w:p w:rsidR="00900C99" w:rsidRDefault="00717C57" w:rsidP="00900C99">
      <w:pPr>
        <w:pStyle w:val="Paragraphedeliste"/>
        <w:numPr>
          <w:ilvl w:val="0"/>
          <w:numId w:val="5"/>
        </w:numPr>
        <w:jc w:val="both"/>
      </w:pPr>
      <w:r w:rsidRPr="00A23910">
        <w:rPr>
          <w:i/>
          <w:iCs/>
        </w:rPr>
        <w:t>L</w:t>
      </w:r>
      <w:r w:rsidR="00900C99" w:rsidRPr="00A23910">
        <w:rPr>
          <w:i/>
          <w:iCs/>
        </w:rPr>
        <w:t xml:space="preserve">a mesure dans laquelle </w:t>
      </w:r>
      <w:bookmarkStart w:id="1" w:name="_Hlk57825718"/>
      <w:r w:rsidR="00900C99" w:rsidRPr="00A23910">
        <w:rPr>
          <w:i/>
          <w:iCs/>
        </w:rPr>
        <w:t>le</w:t>
      </w:r>
      <w:r w:rsidR="005A0BC3" w:rsidRPr="005A0BC3">
        <w:rPr>
          <w:i/>
          <w:iCs/>
        </w:rPr>
        <w:t xml:space="preserve"> </w:t>
      </w:r>
      <w:r w:rsidR="00A44171" w:rsidRPr="00A23910">
        <w:rPr>
          <w:i/>
          <w:iCs/>
        </w:rPr>
        <w:t>périmètre SAR dit « </w:t>
      </w:r>
      <w:r w:rsidR="006D0D28" w:rsidRPr="006D0D28">
        <w:rPr>
          <w:i/>
          <w:iCs/>
          <w:highlight w:val="yellow"/>
        </w:rPr>
        <w:t>Ancien Al</w:t>
      </w:r>
      <w:r w:rsidR="00E3755C">
        <w:rPr>
          <w:i/>
          <w:iCs/>
          <w:highlight w:val="yellow"/>
        </w:rPr>
        <w:t>di</w:t>
      </w:r>
      <w:r w:rsidR="00E3755C">
        <w:rPr>
          <w:i/>
          <w:iCs/>
        </w:rPr>
        <w:t xml:space="preserve"> </w:t>
      </w:r>
      <w:r w:rsidR="00A44171" w:rsidRPr="00A23910">
        <w:rPr>
          <w:i/>
          <w:iCs/>
        </w:rPr>
        <w:t xml:space="preserve">» </w:t>
      </w:r>
      <w:bookmarkEnd w:id="1"/>
      <w:r w:rsidR="00900C99" w:rsidRPr="00A23910">
        <w:rPr>
          <w:i/>
          <w:iCs/>
        </w:rPr>
        <w:t>définit un cadre pour d’autres projets ou activités, en ce qui concerne la localisation, la nature, la taille et les conditions de fonctionnement ou par une allocation de ressources</w:t>
      </w:r>
      <w:r w:rsidR="00DC4943">
        <w:t> :</w:t>
      </w:r>
    </w:p>
    <w:p w:rsidR="00DC4943" w:rsidRDefault="00DC4943" w:rsidP="00DC4943">
      <w:pPr>
        <w:pStyle w:val="Paragraphedeliste"/>
        <w:ind w:left="1428"/>
        <w:jc w:val="both"/>
      </w:pPr>
      <w:r>
        <w:t>Le périmètre du SAR « </w:t>
      </w:r>
      <w:r w:rsidR="00E3755C" w:rsidRPr="00E3755C">
        <w:rPr>
          <w:highlight w:val="yellow"/>
        </w:rPr>
        <w:t>Ancien Aldi</w:t>
      </w:r>
      <w:r>
        <w:t> » définit un cadre dans la mesure où l’arrêté de reconnaissance du périmètre permettra</w:t>
      </w:r>
      <w:r w:rsidR="00E3755C">
        <w:t xml:space="preserve"> </w:t>
      </w:r>
      <w:r w:rsidR="00E3755C" w:rsidRPr="00011C5E">
        <w:rPr>
          <w:highlight w:val="yellow"/>
        </w:rPr>
        <w:t>aux riverains du futur espace vert de disposer d’un espace où partager des moments de convivialité, d’échanges sociaux, d’activité physique en plein air</w:t>
      </w:r>
      <w:r w:rsidR="00011C5E" w:rsidRPr="00011C5E">
        <w:rPr>
          <w:highlight w:val="yellow"/>
        </w:rPr>
        <w:t xml:space="preserve"> dans un quartier dépourvu de ce type d’équipement</w:t>
      </w:r>
      <w:r w:rsidR="00011C5E">
        <w:t>.</w:t>
      </w:r>
    </w:p>
    <w:p w:rsidR="00125C18" w:rsidRDefault="00125C18" w:rsidP="00DC4943">
      <w:pPr>
        <w:pStyle w:val="Paragraphedeliste"/>
        <w:ind w:left="1428"/>
        <w:jc w:val="both"/>
      </w:pPr>
    </w:p>
    <w:p w:rsidR="00900C99" w:rsidRDefault="00717C57" w:rsidP="00900C99">
      <w:pPr>
        <w:pStyle w:val="Paragraphedeliste"/>
        <w:numPr>
          <w:ilvl w:val="0"/>
          <w:numId w:val="5"/>
        </w:numPr>
        <w:jc w:val="both"/>
      </w:pPr>
      <w:r w:rsidRPr="00A23910">
        <w:rPr>
          <w:i/>
          <w:iCs/>
        </w:rPr>
        <w:t>La</w:t>
      </w:r>
      <w:r w:rsidR="00900C99" w:rsidRPr="00A23910">
        <w:rPr>
          <w:i/>
          <w:iCs/>
        </w:rPr>
        <w:t xml:space="preserve"> mesure dans laquelle </w:t>
      </w:r>
      <w:r w:rsidR="00A44171" w:rsidRPr="00A23910">
        <w:rPr>
          <w:i/>
          <w:iCs/>
        </w:rPr>
        <w:t>l</w:t>
      </w:r>
      <w:r w:rsidR="00A44171" w:rsidRPr="00B54699">
        <w:rPr>
          <w:i/>
          <w:iCs/>
        </w:rPr>
        <w:t>e</w:t>
      </w:r>
      <w:r w:rsidR="005A0BC3" w:rsidRPr="00B54699">
        <w:rPr>
          <w:i/>
          <w:iCs/>
        </w:rPr>
        <w:t xml:space="preserve"> </w:t>
      </w:r>
      <w:r w:rsidR="00A44171" w:rsidRPr="00B54699">
        <w:rPr>
          <w:i/>
          <w:iCs/>
        </w:rPr>
        <w:t>périmètre</w:t>
      </w:r>
      <w:r w:rsidR="00A44171" w:rsidRPr="00A23910">
        <w:rPr>
          <w:i/>
          <w:iCs/>
        </w:rPr>
        <w:t xml:space="preserve"> SAR dit « </w:t>
      </w:r>
      <w:r w:rsidR="00011C5E" w:rsidRPr="006D0D28">
        <w:rPr>
          <w:i/>
          <w:iCs/>
          <w:highlight w:val="yellow"/>
        </w:rPr>
        <w:t>Ancien Al</w:t>
      </w:r>
      <w:r w:rsidR="00011C5E">
        <w:rPr>
          <w:i/>
          <w:iCs/>
          <w:highlight w:val="yellow"/>
        </w:rPr>
        <w:t>di</w:t>
      </w:r>
      <w:r w:rsidR="00A44171" w:rsidRPr="00A23910">
        <w:rPr>
          <w:i/>
          <w:iCs/>
        </w:rPr>
        <w:t xml:space="preserve">» </w:t>
      </w:r>
      <w:r w:rsidR="00900C99" w:rsidRPr="00A23910">
        <w:rPr>
          <w:i/>
          <w:iCs/>
        </w:rPr>
        <w:t>influence d’autres plans ou programmes</w:t>
      </w:r>
      <w:r w:rsidR="00B54699">
        <w:rPr>
          <w:rStyle w:val="Appelnotedebasdep"/>
          <w:i/>
          <w:iCs/>
        </w:rPr>
        <w:footnoteReference w:id="1"/>
      </w:r>
      <w:r w:rsidR="00900C99" w:rsidRPr="00A23910">
        <w:rPr>
          <w:i/>
          <w:iCs/>
        </w:rPr>
        <w:t>, y compris ceux qui font partie d’un ensemble hiérarchisé</w:t>
      </w:r>
      <w:r w:rsidR="00DC4943">
        <w:t> :</w:t>
      </w:r>
    </w:p>
    <w:p w:rsidR="00717C57" w:rsidRDefault="00717C57" w:rsidP="00A23910">
      <w:pPr>
        <w:pStyle w:val="Paragraphedeliste"/>
        <w:numPr>
          <w:ilvl w:val="1"/>
          <w:numId w:val="4"/>
        </w:numPr>
        <w:jc w:val="both"/>
      </w:pPr>
      <w:r w:rsidRPr="008E4C55">
        <w:t>SDT (ou ancien SDER)</w:t>
      </w:r>
      <w:r w:rsidR="008E4C55">
        <w:t> ;</w:t>
      </w:r>
    </w:p>
    <w:p w:rsidR="00EE3A67" w:rsidRPr="00EE3A67" w:rsidRDefault="00B63EBB" w:rsidP="00125C18">
      <w:pPr>
        <w:pStyle w:val="Paragraphedeliste"/>
        <w:ind w:left="1800"/>
        <w:jc w:val="both"/>
        <w:rPr>
          <w:rFonts w:cs="Arial"/>
          <w:highlight w:val="yellow"/>
        </w:rPr>
      </w:pPr>
      <w:r w:rsidRPr="00EE3A67">
        <w:rPr>
          <w:rFonts w:cs="Arial"/>
          <w:highlight w:val="yellow"/>
        </w:rPr>
        <w:t xml:space="preserve">Le projet de SAR contribue à la réalisation de </w:t>
      </w:r>
      <w:r w:rsidR="00EE3A67" w:rsidRPr="00EE3A67">
        <w:rPr>
          <w:rFonts w:cs="Arial"/>
          <w:highlight w:val="yellow"/>
        </w:rPr>
        <w:t>deux</w:t>
      </w:r>
      <w:r w:rsidRPr="00EE3A67">
        <w:rPr>
          <w:rFonts w:cs="Arial"/>
          <w:highlight w:val="yellow"/>
        </w:rPr>
        <w:t xml:space="preserve"> des objectifs du SDT</w:t>
      </w:r>
      <w:r w:rsidR="00EE3A67" w:rsidRPr="00EE3A67">
        <w:rPr>
          <w:rFonts w:cs="Arial"/>
          <w:highlight w:val="yellow"/>
        </w:rPr>
        <w:t> :</w:t>
      </w:r>
    </w:p>
    <w:p w:rsidR="00EE3A67" w:rsidRPr="00EE3A67" w:rsidRDefault="00B63EBB" w:rsidP="00EE3A67">
      <w:pPr>
        <w:pStyle w:val="Paragraphedeliste"/>
        <w:numPr>
          <w:ilvl w:val="2"/>
          <w:numId w:val="4"/>
        </w:numPr>
        <w:jc w:val="both"/>
        <w:rPr>
          <w:highlight w:val="yellow"/>
        </w:rPr>
      </w:pPr>
      <w:r w:rsidRPr="00EE3A67">
        <w:rPr>
          <w:rFonts w:cs="Arial"/>
          <w:highlight w:val="yellow"/>
        </w:rPr>
        <w:t>DE.3 - Développer des espaces publics de qualité, conviviaux et sûrs</w:t>
      </w:r>
    </w:p>
    <w:p w:rsidR="00125C18" w:rsidRPr="00EE3A67" w:rsidRDefault="00EE3A67" w:rsidP="00EE3A67">
      <w:pPr>
        <w:pStyle w:val="Paragraphedeliste"/>
        <w:numPr>
          <w:ilvl w:val="2"/>
          <w:numId w:val="4"/>
        </w:numPr>
        <w:jc w:val="both"/>
        <w:rPr>
          <w:highlight w:val="yellow"/>
        </w:rPr>
      </w:pPr>
      <w:r w:rsidRPr="00EE3A67">
        <w:rPr>
          <w:rFonts w:cs="Arial"/>
          <w:highlight w:val="yellow"/>
        </w:rPr>
        <w:t>PV.1 – Renforcer l’attractivité des espaces urbanisés</w:t>
      </w:r>
    </w:p>
    <w:p w:rsidR="00125C18" w:rsidRPr="008E4C55" w:rsidRDefault="00125C18" w:rsidP="00125C18">
      <w:pPr>
        <w:pStyle w:val="Paragraphedeliste"/>
        <w:ind w:left="1800"/>
        <w:jc w:val="both"/>
      </w:pPr>
    </w:p>
    <w:p w:rsidR="00717C57" w:rsidRDefault="00717C57" w:rsidP="00717C57">
      <w:pPr>
        <w:pStyle w:val="Paragraphedeliste"/>
        <w:numPr>
          <w:ilvl w:val="1"/>
          <w:numId w:val="4"/>
        </w:numPr>
        <w:jc w:val="both"/>
      </w:pPr>
      <w:r w:rsidRPr="008E4C55">
        <w:t>Plan de secteur</w:t>
      </w:r>
      <w:r w:rsidR="008E4C55">
        <w:t> ;</w:t>
      </w:r>
    </w:p>
    <w:p w:rsidR="00011C5E" w:rsidRDefault="00011C5E" w:rsidP="00011C5E">
      <w:pPr>
        <w:pStyle w:val="Paragraphedeliste"/>
        <w:ind w:left="1800"/>
        <w:jc w:val="both"/>
      </w:pPr>
      <w:r w:rsidRPr="00011C5E">
        <w:rPr>
          <w:highlight w:val="yellow"/>
        </w:rPr>
        <w:t xml:space="preserve">Le SAR ainsi que le projet de réaménagement lié permettront de concrétiser la volonté du </w:t>
      </w:r>
      <w:proofErr w:type="spellStart"/>
      <w:r w:rsidRPr="00011C5E">
        <w:rPr>
          <w:highlight w:val="yellow"/>
        </w:rPr>
        <w:t>CoDT</w:t>
      </w:r>
      <w:proofErr w:type="spellEnd"/>
      <w:r w:rsidRPr="00011C5E">
        <w:rPr>
          <w:highlight w:val="yellow"/>
        </w:rPr>
        <w:t xml:space="preserve"> d’implanter des espaces verts publics en zone d’habitat.</w:t>
      </w:r>
    </w:p>
    <w:p w:rsidR="00011C5E" w:rsidRPr="008E4C55" w:rsidRDefault="00011C5E" w:rsidP="00011C5E">
      <w:pPr>
        <w:pStyle w:val="Paragraphedeliste"/>
        <w:ind w:left="1800"/>
        <w:jc w:val="both"/>
      </w:pPr>
    </w:p>
    <w:p w:rsidR="00717C57" w:rsidRDefault="00717C57" w:rsidP="00717C57">
      <w:pPr>
        <w:pStyle w:val="Paragraphedeliste"/>
        <w:numPr>
          <w:ilvl w:val="1"/>
          <w:numId w:val="4"/>
        </w:numPr>
        <w:jc w:val="both"/>
      </w:pPr>
      <w:r w:rsidRPr="008E4C55">
        <w:t>Schéma de Développement Pluri Communal</w:t>
      </w:r>
      <w:r w:rsidR="008E4C55">
        <w:t> ;</w:t>
      </w:r>
    </w:p>
    <w:p w:rsidR="00125C18" w:rsidRDefault="00125C18" w:rsidP="00125C18">
      <w:pPr>
        <w:pStyle w:val="Paragraphedeliste"/>
        <w:ind w:left="1800"/>
        <w:jc w:val="both"/>
      </w:pPr>
      <w:r w:rsidRPr="00125C18">
        <w:rPr>
          <w:highlight w:val="yellow"/>
        </w:rPr>
        <w:t>Sans objet : pas de Schéma de Développement Pluri Communal sur le périmètre.</w:t>
      </w:r>
    </w:p>
    <w:p w:rsidR="00125C18" w:rsidRPr="008E4C55" w:rsidRDefault="00125C18" w:rsidP="00125C18">
      <w:pPr>
        <w:pStyle w:val="Paragraphedeliste"/>
        <w:ind w:left="1800"/>
        <w:jc w:val="both"/>
      </w:pPr>
    </w:p>
    <w:p w:rsidR="00125C18" w:rsidRDefault="00717C57" w:rsidP="00125C18">
      <w:pPr>
        <w:pStyle w:val="Paragraphedeliste"/>
        <w:numPr>
          <w:ilvl w:val="1"/>
          <w:numId w:val="4"/>
        </w:numPr>
        <w:jc w:val="both"/>
      </w:pPr>
      <w:r w:rsidRPr="008E4C55">
        <w:t>Schéma de Développement Communal</w:t>
      </w:r>
      <w:r w:rsidR="008E4C55">
        <w:t> ;</w:t>
      </w:r>
    </w:p>
    <w:p w:rsidR="00125C18" w:rsidRDefault="00AB5AD7" w:rsidP="00125C18">
      <w:pPr>
        <w:pStyle w:val="Paragraphedeliste"/>
        <w:ind w:left="1800"/>
        <w:jc w:val="both"/>
      </w:pPr>
      <w:r w:rsidRPr="00E9562C">
        <w:rPr>
          <w:highlight w:val="yellow"/>
        </w:rPr>
        <w:t xml:space="preserve">Le Schéma de Structure Communal </w:t>
      </w:r>
      <w:r w:rsidR="00E9562C" w:rsidRPr="00E9562C">
        <w:rPr>
          <w:highlight w:val="yellow"/>
        </w:rPr>
        <w:t xml:space="preserve">(SSC) </w:t>
      </w:r>
      <w:r w:rsidRPr="00E9562C">
        <w:rPr>
          <w:highlight w:val="yellow"/>
        </w:rPr>
        <w:t xml:space="preserve">de Mons est aujourd’hui relativement obsolète puisqu’il a été réalisé il y a maintenant 20 ans. Néanmoins, ses grandes orientations restent encore d’actualité. Ainsi, la création de parcs en milieu urbain (mesure C207) constitue une priorité spécifique pour le territoire de Jemappes qui </w:t>
      </w:r>
      <w:r w:rsidR="00E9562C" w:rsidRPr="00E9562C">
        <w:rPr>
          <w:highlight w:val="yellow"/>
        </w:rPr>
        <w:t>connait un</w:t>
      </w:r>
      <w:r w:rsidRPr="00E9562C">
        <w:rPr>
          <w:highlight w:val="yellow"/>
        </w:rPr>
        <w:t xml:space="preserve"> tissu d’habi</w:t>
      </w:r>
      <w:r w:rsidR="00E9562C" w:rsidRPr="00E9562C">
        <w:rPr>
          <w:highlight w:val="yellow"/>
        </w:rPr>
        <w:t>tat à caractère ouvrier. Le projet de réaménagement de ce SAR aura donc une incidence positive au regard du SSC.</w:t>
      </w:r>
    </w:p>
    <w:p w:rsidR="00AB5AD7" w:rsidRPr="008E4C55" w:rsidRDefault="00AB5AD7" w:rsidP="00125C18">
      <w:pPr>
        <w:pStyle w:val="Paragraphedeliste"/>
        <w:ind w:left="1800"/>
        <w:jc w:val="both"/>
      </w:pPr>
    </w:p>
    <w:p w:rsidR="00717C57" w:rsidRDefault="00717C57" w:rsidP="00717C57">
      <w:pPr>
        <w:pStyle w:val="Paragraphedeliste"/>
        <w:numPr>
          <w:ilvl w:val="1"/>
          <w:numId w:val="4"/>
        </w:numPr>
        <w:jc w:val="both"/>
      </w:pPr>
      <w:r w:rsidRPr="008E4C55">
        <w:t>Schéma d’Orientation Local</w:t>
      </w:r>
      <w:r w:rsidR="008E4C55">
        <w:t> ;</w:t>
      </w:r>
    </w:p>
    <w:p w:rsidR="00011C5E" w:rsidRDefault="00011C5E" w:rsidP="00011C5E">
      <w:pPr>
        <w:pStyle w:val="Paragraphedeliste"/>
        <w:ind w:left="1800"/>
        <w:jc w:val="both"/>
      </w:pPr>
      <w:r w:rsidRPr="00011C5E">
        <w:rPr>
          <w:highlight w:val="yellow"/>
        </w:rPr>
        <w:t>Sans objet : pas de Schéma d’Orientation Local sur le périmètre.</w:t>
      </w:r>
    </w:p>
    <w:p w:rsidR="00011C5E" w:rsidRPr="008E4C55" w:rsidRDefault="00011C5E" w:rsidP="00011C5E">
      <w:pPr>
        <w:pStyle w:val="Paragraphedeliste"/>
        <w:ind w:left="1800"/>
        <w:jc w:val="both"/>
      </w:pPr>
    </w:p>
    <w:p w:rsidR="00717C57" w:rsidRDefault="00717C57" w:rsidP="00717C57">
      <w:pPr>
        <w:pStyle w:val="Paragraphedeliste"/>
        <w:numPr>
          <w:ilvl w:val="1"/>
          <w:numId w:val="4"/>
        </w:numPr>
        <w:jc w:val="both"/>
      </w:pPr>
      <w:r w:rsidRPr="008E4C55">
        <w:t>Périmètre de Remembrement Urbain</w:t>
      </w:r>
      <w:r w:rsidR="008E4C55">
        <w:t> ;</w:t>
      </w:r>
    </w:p>
    <w:p w:rsidR="00011C5E" w:rsidRDefault="00011C5E" w:rsidP="00011C5E">
      <w:pPr>
        <w:pStyle w:val="Paragraphedeliste"/>
        <w:ind w:left="1800"/>
        <w:jc w:val="both"/>
      </w:pPr>
      <w:r w:rsidRPr="00011C5E">
        <w:rPr>
          <w:highlight w:val="yellow"/>
        </w:rPr>
        <w:t>Sans objet : pas de périmètre de Remembrement Urbain sur le périmètre.</w:t>
      </w:r>
    </w:p>
    <w:p w:rsidR="00011C5E" w:rsidRPr="008E4C55" w:rsidRDefault="00011C5E" w:rsidP="00011C5E">
      <w:pPr>
        <w:pStyle w:val="Paragraphedeliste"/>
        <w:ind w:left="1800"/>
        <w:jc w:val="both"/>
      </w:pPr>
    </w:p>
    <w:p w:rsidR="00717C57" w:rsidRDefault="008E4C55" w:rsidP="00717C57">
      <w:pPr>
        <w:pStyle w:val="Paragraphedeliste"/>
        <w:numPr>
          <w:ilvl w:val="1"/>
          <w:numId w:val="4"/>
        </w:numPr>
        <w:jc w:val="both"/>
      </w:pPr>
      <w:r w:rsidRPr="008E4C55">
        <w:t>SAR préexistant (qui serait abrogé en même temps que l’on élabore le nouveau)</w:t>
      </w:r>
      <w:r>
        <w:t> ;</w:t>
      </w:r>
    </w:p>
    <w:p w:rsidR="00125C18" w:rsidRDefault="001B193C" w:rsidP="00125C18">
      <w:pPr>
        <w:pStyle w:val="Paragraphedeliste"/>
        <w:ind w:left="1800"/>
        <w:jc w:val="both"/>
      </w:pPr>
      <w:r w:rsidRPr="00F60A90">
        <w:rPr>
          <w:highlight w:val="yellow"/>
        </w:rPr>
        <w:lastRenderedPageBreak/>
        <w:t>Un SAR dit « </w:t>
      </w:r>
      <w:proofErr w:type="spellStart"/>
      <w:r w:rsidRPr="00F60A90">
        <w:rPr>
          <w:highlight w:val="yellow"/>
        </w:rPr>
        <w:t>EuroUnic</w:t>
      </w:r>
      <w:proofErr w:type="spellEnd"/>
      <w:r w:rsidRPr="00F60A90">
        <w:rPr>
          <w:highlight w:val="yellow"/>
        </w:rPr>
        <w:t> » a été reconnu provisoirement sur cette zone le 24/10/2013</w:t>
      </w:r>
      <w:r w:rsidR="00F60A90" w:rsidRPr="00F60A90">
        <w:rPr>
          <w:highlight w:val="yellow"/>
        </w:rPr>
        <w:t xml:space="preserve"> sous procédure CWATUP</w:t>
      </w:r>
      <w:r w:rsidRPr="00F60A90">
        <w:rPr>
          <w:highlight w:val="yellow"/>
        </w:rPr>
        <w:t>. Sa reconnaissance définitive n’a pas eu lieu. La reconnaissance d’un nouveau périmètre de SAR</w:t>
      </w:r>
      <w:r w:rsidR="00F60A90" w:rsidRPr="00F60A90">
        <w:rPr>
          <w:highlight w:val="yellow"/>
        </w:rPr>
        <w:t xml:space="preserve"> sous procédure </w:t>
      </w:r>
      <w:proofErr w:type="spellStart"/>
      <w:r w:rsidR="00F60A90" w:rsidRPr="00F60A90">
        <w:rPr>
          <w:highlight w:val="yellow"/>
        </w:rPr>
        <w:t>CoDT</w:t>
      </w:r>
      <w:proofErr w:type="spellEnd"/>
      <w:r w:rsidRPr="00F60A90">
        <w:rPr>
          <w:highlight w:val="yellow"/>
        </w:rPr>
        <w:t xml:space="preserve"> permettrait de clarifier la situation sur le plan légal.</w:t>
      </w:r>
    </w:p>
    <w:p w:rsidR="001B193C" w:rsidRDefault="001B193C" w:rsidP="00125C18">
      <w:pPr>
        <w:pStyle w:val="Paragraphedeliste"/>
        <w:ind w:left="1800"/>
        <w:jc w:val="both"/>
      </w:pPr>
    </w:p>
    <w:p w:rsidR="008E4C55" w:rsidRDefault="008E4C55" w:rsidP="00717C57">
      <w:pPr>
        <w:pStyle w:val="Paragraphedeliste"/>
        <w:numPr>
          <w:ilvl w:val="1"/>
          <w:numId w:val="4"/>
        </w:numPr>
        <w:jc w:val="both"/>
      </w:pPr>
      <w:r>
        <w:t>Cartographie des aléas d’inondation ;</w:t>
      </w:r>
    </w:p>
    <w:p w:rsidR="00125C18" w:rsidRPr="00AD4DBA" w:rsidRDefault="00125C18" w:rsidP="00125C18">
      <w:pPr>
        <w:pStyle w:val="Paragraphedeliste"/>
        <w:ind w:left="1800"/>
        <w:jc w:val="both"/>
        <w:rPr>
          <w:highlight w:val="yellow"/>
        </w:rPr>
      </w:pPr>
      <w:r w:rsidRPr="00AD4DBA">
        <w:rPr>
          <w:highlight w:val="yellow"/>
        </w:rPr>
        <w:t xml:space="preserve">Sans objet : pas d’aléa d’inondation relevé sur cette zone. </w:t>
      </w:r>
    </w:p>
    <w:p w:rsidR="00125C18" w:rsidRDefault="00125C18" w:rsidP="00125C18">
      <w:pPr>
        <w:pStyle w:val="Paragraphedeliste"/>
        <w:ind w:left="1800"/>
        <w:jc w:val="both"/>
      </w:pPr>
      <w:r w:rsidRPr="00AD4DBA">
        <w:rPr>
          <w:highlight w:val="yellow"/>
        </w:rPr>
        <w:t xml:space="preserve">Néanmoins, </w:t>
      </w:r>
      <w:r w:rsidR="00AD4DBA" w:rsidRPr="00AD4DBA">
        <w:rPr>
          <w:highlight w:val="yellow"/>
        </w:rPr>
        <w:t>actuellement la zone est quasi entièrement minéralisée, l’aménagement d’un espace vert à cet endroit est donc favorable à une meilleure perméabilité des sols.</w:t>
      </w:r>
    </w:p>
    <w:p w:rsidR="00125C18" w:rsidRPr="008E4C55" w:rsidRDefault="00125C18" w:rsidP="00125C18">
      <w:pPr>
        <w:pStyle w:val="Paragraphedeliste"/>
        <w:ind w:left="1800"/>
        <w:jc w:val="both"/>
      </w:pPr>
    </w:p>
    <w:p w:rsidR="00900C99" w:rsidRDefault="00717C57" w:rsidP="00900C99">
      <w:pPr>
        <w:pStyle w:val="Paragraphedeliste"/>
        <w:numPr>
          <w:ilvl w:val="0"/>
          <w:numId w:val="5"/>
        </w:numPr>
        <w:jc w:val="both"/>
        <w:rPr>
          <w:i/>
          <w:iCs/>
        </w:rPr>
      </w:pPr>
      <w:r w:rsidRPr="00A23910">
        <w:rPr>
          <w:i/>
          <w:iCs/>
        </w:rPr>
        <w:t>L’adéquation</w:t>
      </w:r>
      <w:r w:rsidR="00900C99" w:rsidRPr="00A23910">
        <w:rPr>
          <w:i/>
          <w:iCs/>
        </w:rPr>
        <w:t xml:space="preserve"> entre </w:t>
      </w:r>
      <w:r w:rsidR="00A44171" w:rsidRPr="00A23910">
        <w:rPr>
          <w:i/>
          <w:iCs/>
        </w:rPr>
        <w:t>l</w:t>
      </w:r>
      <w:r w:rsidR="00A44171" w:rsidRPr="005A0BC3">
        <w:rPr>
          <w:i/>
          <w:iCs/>
        </w:rPr>
        <w:t>e</w:t>
      </w:r>
      <w:r w:rsidR="00A23910" w:rsidRPr="005A0BC3">
        <w:rPr>
          <w:i/>
          <w:iCs/>
        </w:rPr>
        <w:t xml:space="preserve"> </w:t>
      </w:r>
      <w:r w:rsidR="00A44171" w:rsidRPr="005A0BC3">
        <w:rPr>
          <w:i/>
          <w:iCs/>
        </w:rPr>
        <w:t>périmètre</w:t>
      </w:r>
      <w:r w:rsidR="00A44171" w:rsidRPr="00A23910">
        <w:rPr>
          <w:i/>
          <w:iCs/>
        </w:rPr>
        <w:t xml:space="preserve"> SAR dit « </w:t>
      </w:r>
      <w:r w:rsidR="003363F3" w:rsidRPr="003363F3">
        <w:rPr>
          <w:i/>
          <w:iCs/>
          <w:highlight w:val="yellow"/>
        </w:rPr>
        <w:t>Ancien Aldi</w:t>
      </w:r>
      <w:r w:rsidR="00A44171" w:rsidRPr="00A23910">
        <w:rPr>
          <w:i/>
          <w:iCs/>
        </w:rPr>
        <w:t xml:space="preserve"> » </w:t>
      </w:r>
      <w:r w:rsidR="00900C99" w:rsidRPr="00A23910">
        <w:rPr>
          <w:i/>
          <w:iCs/>
        </w:rPr>
        <w:t xml:space="preserve">et l’intégration des considérations environnementales, en vue, notamment, de promouvoir un développement durable ; </w:t>
      </w:r>
    </w:p>
    <w:p w:rsidR="00C50DC6" w:rsidRPr="00C50DC6" w:rsidRDefault="00C50DC6" w:rsidP="00C50DC6">
      <w:pPr>
        <w:pStyle w:val="Paragraphedeliste"/>
        <w:tabs>
          <w:tab w:val="right" w:leader="dot" w:pos="9072"/>
        </w:tabs>
        <w:ind w:left="1418"/>
        <w:jc w:val="both"/>
        <w:rPr>
          <w:bCs/>
          <w:highlight w:val="yellow"/>
        </w:rPr>
      </w:pPr>
      <w:r w:rsidRPr="00C50DC6">
        <w:rPr>
          <w:bCs/>
          <w:highlight w:val="yellow"/>
        </w:rPr>
        <w:t>L’incidence prévue de ce projet est positive puisqu’il est tout d’a</w:t>
      </w:r>
      <w:r w:rsidR="003363F3" w:rsidRPr="00C50DC6">
        <w:rPr>
          <w:bCs/>
          <w:highlight w:val="yellow"/>
        </w:rPr>
        <w:t>bord</w:t>
      </w:r>
      <w:r w:rsidRPr="00C50DC6">
        <w:rPr>
          <w:bCs/>
          <w:highlight w:val="yellow"/>
        </w:rPr>
        <w:t xml:space="preserve"> prévu</w:t>
      </w:r>
      <w:r w:rsidR="003363F3" w:rsidRPr="00C50DC6">
        <w:rPr>
          <w:bCs/>
          <w:highlight w:val="yellow"/>
        </w:rPr>
        <w:t xml:space="preserve"> l’acquisition des parcelles, la démolition des aménagements présents avec évacuation des matériaux et dépollution éventuelle des terres. </w:t>
      </w:r>
    </w:p>
    <w:p w:rsidR="00C50DC6" w:rsidRPr="00C50DC6" w:rsidRDefault="00C50DC6" w:rsidP="00C50DC6">
      <w:pPr>
        <w:pStyle w:val="Paragraphedeliste"/>
        <w:tabs>
          <w:tab w:val="right" w:leader="dot" w:pos="9072"/>
        </w:tabs>
        <w:ind w:left="1418"/>
        <w:jc w:val="both"/>
        <w:rPr>
          <w:bCs/>
          <w:highlight w:val="yellow"/>
        </w:rPr>
      </w:pPr>
    </w:p>
    <w:p w:rsidR="003363F3" w:rsidRPr="00C50DC6" w:rsidRDefault="003363F3" w:rsidP="00C50DC6">
      <w:pPr>
        <w:pStyle w:val="Paragraphedeliste"/>
        <w:tabs>
          <w:tab w:val="right" w:leader="dot" w:pos="9072"/>
        </w:tabs>
        <w:ind w:left="1418"/>
        <w:jc w:val="both"/>
        <w:rPr>
          <w:bCs/>
        </w:rPr>
      </w:pPr>
      <w:r w:rsidRPr="00C50DC6">
        <w:rPr>
          <w:bCs/>
          <w:highlight w:val="yellow"/>
        </w:rPr>
        <w:t>Ensuite, la Ville de Mons pourra y implanter un espace vert de belle taille mais à destination principale de ses riverains directs et des habitants du centre de Jemappes. Les aménagements à y réaliser devront permettre de renforcer la cohésion sociale au sein de cette zone densément peuplée, où les habitations sont de petites dimensions et où les espaces verts publics sont assez rares et excentrés. Ils permettront également de renforcer la qualité paysagère et la biodiversité de Jemappes tout en augmentant les connexions dédiées aux modes doux, favorisant les liens entre les quartiers.</w:t>
      </w:r>
    </w:p>
    <w:p w:rsidR="003363F3" w:rsidRPr="00A23910" w:rsidRDefault="003363F3" w:rsidP="003363F3">
      <w:pPr>
        <w:pStyle w:val="Paragraphedeliste"/>
        <w:ind w:left="1068"/>
        <w:jc w:val="both"/>
        <w:rPr>
          <w:i/>
          <w:iCs/>
        </w:rPr>
      </w:pPr>
    </w:p>
    <w:p w:rsidR="00900C99" w:rsidRDefault="00717C57" w:rsidP="00900C99">
      <w:pPr>
        <w:pStyle w:val="Paragraphedeliste"/>
        <w:numPr>
          <w:ilvl w:val="0"/>
          <w:numId w:val="5"/>
        </w:numPr>
        <w:jc w:val="both"/>
        <w:rPr>
          <w:i/>
          <w:iCs/>
        </w:rPr>
      </w:pPr>
      <w:r w:rsidRPr="00A23910">
        <w:rPr>
          <w:i/>
          <w:iCs/>
        </w:rPr>
        <w:t>Les</w:t>
      </w:r>
      <w:r w:rsidR="00900C99" w:rsidRPr="00A23910">
        <w:rPr>
          <w:i/>
          <w:iCs/>
        </w:rPr>
        <w:t xml:space="preserve"> problèmes environnementaux liés au </w:t>
      </w:r>
      <w:r w:rsidR="00A44171" w:rsidRPr="00A23910">
        <w:rPr>
          <w:i/>
          <w:iCs/>
        </w:rPr>
        <w:t>périmètre SAR dit « </w:t>
      </w:r>
      <w:r w:rsidR="00C50DC6" w:rsidRPr="00C50DC6">
        <w:rPr>
          <w:i/>
          <w:iCs/>
          <w:highlight w:val="yellow"/>
        </w:rPr>
        <w:t>Ancien Aldi</w:t>
      </w:r>
      <w:r w:rsidR="00A44171" w:rsidRPr="00A23910">
        <w:rPr>
          <w:i/>
          <w:iCs/>
        </w:rPr>
        <w:t> </w:t>
      </w:r>
      <w:r w:rsidR="00A23910" w:rsidRPr="00A23910">
        <w:rPr>
          <w:i/>
          <w:iCs/>
        </w:rPr>
        <w:t>» ;</w:t>
      </w:r>
    </w:p>
    <w:p w:rsidR="00C50DC6" w:rsidRDefault="00C50DC6" w:rsidP="00C50DC6">
      <w:pPr>
        <w:ind w:left="1416"/>
        <w:jc w:val="both"/>
        <w:rPr>
          <w:iCs/>
        </w:rPr>
      </w:pPr>
      <w:r w:rsidRPr="00C50DC6">
        <w:rPr>
          <w:iCs/>
          <w:highlight w:val="yellow"/>
        </w:rPr>
        <w:t>Pas de problème en</w:t>
      </w:r>
      <w:r w:rsidR="00D334CE">
        <w:rPr>
          <w:iCs/>
          <w:highlight w:val="yellow"/>
        </w:rPr>
        <w:t xml:space="preserve">vironnemental connu sur le site. </w:t>
      </w:r>
      <w:r w:rsidR="00D334CE" w:rsidRPr="00D334CE">
        <w:rPr>
          <w:iCs/>
          <w:highlight w:val="yellow"/>
        </w:rPr>
        <w:t>La situation future ne pourra être que meilleure au vu du type d’aménagement prévu (</w:t>
      </w:r>
      <w:proofErr w:type="spellStart"/>
      <w:r w:rsidR="00D334CE">
        <w:rPr>
          <w:iCs/>
          <w:highlight w:val="yellow"/>
        </w:rPr>
        <w:t>cf</w:t>
      </w:r>
      <w:proofErr w:type="spellEnd"/>
      <w:r w:rsidR="00D334CE">
        <w:rPr>
          <w:iCs/>
          <w:highlight w:val="yellow"/>
        </w:rPr>
        <w:t xml:space="preserve"> point </w:t>
      </w:r>
      <w:r w:rsidR="00D334CE" w:rsidRPr="00D334CE">
        <w:rPr>
          <w:i/>
          <w:iCs/>
          <w:highlight w:val="yellow"/>
        </w:rPr>
        <w:t>c)</w:t>
      </w:r>
      <w:r w:rsidR="00D334CE">
        <w:rPr>
          <w:iCs/>
          <w:highlight w:val="yellow"/>
        </w:rPr>
        <w:t xml:space="preserve"> supra)</w:t>
      </w:r>
      <w:r w:rsidR="00D334CE" w:rsidRPr="00D334CE">
        <w:rPr>
          <w:iCs/>
          <w:highlight w:val="yellow"/>
        </w:rPr>
        <w:t>.</w:t>
      </w:r>
    </w:p>
    <w:p w:rsidR="00C50DC6" w:rsidRPr="00C50DC6" w:rsidRDefault="00C50DC6" w:rsidP="00C50DC6">
      <w:pPr>
        <w:spacing w:after="0"/>
        <w:ind w:left="1418"/>
        <w:jc w:val="both"/>
        <w:rPr>
          <w:iCs/>
        </w:rPr>
      </w:pPr>
    </w:p>
    <w:p w:rsidR="00900C99" w:rsidRPr="00A23910" w:rsidRDefault="00717C57" w:rsidP="00900C99">
      <w:pPr>
        <w:pStyle w:val="Paragraphedeliste"/>
        <w:numPr>
          <w:ilvl w:val="0"/>
          <w:numId w:val="5"/>
        </w:numPr>
        <w:jc w:val="both"/>
        <w:rPr>
          <w:i/>
          <w:iCs/>
        </w:rPr>
      </w:pPr>
      <w:r w:rsidRPr="00A23910">
        <w:rPr>
          <w:i/>
          <w:iCs/>
        </w:rPr>
        <w:t>L’adéquation</w:t>
      </w:r>
      <w:r w:rsidR="00900C99" w:rsidRPr="00A23910">
        <w:rPr>
          <w:i/>
          <w:iCs/>
        </w:rPr>
        <w:t xml:space="preserve"> </w:t>
      </w:r>
      <w:r w:rsidR="00900C99" w:rsidRPr="005A0BC3">
        <w:rPr>
          <w:i/>
          <w:iCs/>
        </w:rPr>
        <w:t xml:space="preserve">entre </w:t>
      </w:r>
      <w:r w:rsidR="00A44171" w:rsidRPr="005A0BC3">
        <w:rPr>
          <w:i/>
          <w:iCs/>
        </w:rPr>
        <w:t>le</w:t>
      </w:r>
      <w:r w:rsidR="00A23910" w:rsidRPr="005A0BC3">
        <w:rPr>
          <w:i/>
          <w:iCs/>
        </w:rPr>
        <w:t xml:space="preserve"> </w:t>
      </w:r>
      <w:r w:rsidR="00A44171" w:rsidRPr="005A0BC3">
        <w:rPr>
          <w:i/>
          <w:iCs/>
        </w:rPr>
        <w:t>périmètre</w:t>
      </w:r>
      <w:r w:rsidR="00A44171" w:rsidRPr="00A23910">
        <w:rPr>
          <w:i/>
          <w:iCs/>
        </w:rPr>
        <w:t xml:space="preserve"> SAR dit « </w:t>
      </w:r>
      <w:r w:rsidR="00EC3F9F" w:rsidRPr="00EC3F9F">
        <w:rPr>
          <w:i/>
          <w:iCs/>
          <w:highlight w:val="yellow"/>
        </w:rPr>
        <w:t>Ancien Aldi</w:t>
      </w:r>
      <w:r w:rsidR="00A44171" w:rsidRPr="00A23910">
        <w:rPr>
          <w:i/>
          <w:iCs/>
        </w:rPr>
        <w:t> »</w:t>
      </w:r>
      <w:r w:rsidR="00900C99" w:rsidRPr="00A23910">
        <w:rPr>
          <w:i/>
          <w:iCs/>
        </w:rPr>
        <w:t xml:space="preserve"> et la mise en œuvre de la législation relative à l’environnement</w:t>
      </w:r>
      <w:r w:rsidR="00A23910">
        <w:rPr>
          <w:i/>
          <w:iCs/>
        </w:rPr>
        <w:t> :</w:t>
      </w:r>
    </w:p>
    <w:p w:rsidR="008E4C55" w:rsidRDefault="008E4C55" w:rsidP="008E4C55">
      <w:pPr>
        <w:pStyle w:val="Paragraphedeliste"/>
        <w:numPr>
          <w:ilvl w:val="0"/>
          <w:numId w:val="7"/>
        </w:numPr>
        <w:jc w:val="both"/>
      </w:pPr>
      <w:r>
        <w:t>Zones vulnérables aux nitrates ;</w:t>
      </w:r>
    </w:p>
    <w:p w:rsidR="00D334CE" w:rsidRPr="00D334CE" w:rsidRDefault="00D334CE" w:rsidP="00D334CE">
      <w:pPr>
        <w:pStyle w:val="Paragraphedeliste"/>
        <w:ind w:left="1776"/>
        <w:jc w:val="both"/>
        <w:rPr>
          <w:iCs/>
        </w:rPr>
      </w:pPr>
      <w:r w:rsidRPr="00D334CE">
        <w:rPr>
          <w:iCs/>
          <w:highlight w:val="yellow"/>
        </w:rPr>
        <w:t>La situation future ne pourra être que meilleure au vu du type d’aménagement prévu (</w:t>
      </w:r>
      <w:proofErr w:type="spellStart"/>
      <w:r>
        <w:rPr>
          <w:iCs/>
          <w:highlight w:val="yellow"/>
        </w:rPr>
        <w:t>cf</w:t>
      </w:r>
      <w:proofErr w:type="spellEnd"/>
      <w:r>
        <w:rPr>
          <w:iCs/>
          <w:highlight w:val="yellow"/>
        </w:rPr>
        <w:t xml:space="preserve"> point </w:t>
      </w:r>
      <w:r w:rsidRPr="00D334CE">
        <w:rPr>
          <w:i/>
          <w:iCs/>
          <w:highlight w:val="yellow"/>
        </w:rPr>
        <w:t>c)</w:t>
      </w:r>
      <w:r>
        <w:rPr>
          <w:iCs/>
          <w:highlight w:val="yellow"/>
        </w:rPr>
        <w:t xml:space="preserve"> supra)</w:t>
      </w:r>
      <w:r w:rsidRPr="00D334CE">
        <w:rPr>
          <w:iCs/>
          <w:highlight w:val="yellow"/>
        </w:rPr>
        <w:t>.</w:t>
      </w:r>
    </w:p>
    <w:p w:rsidR="00D334CE" w:rsidRDefault="00D334CE" w:rsidP="00D334CE">
      <w:pPr>
        <w:pStyle w:val="Paragraphedeliste"/>
        <w:ind w:left="1776"/>
        <w:jc w:val="both"/>
      </w:pPr>
    </w:p>
    <w:p w:rsidR="008E4C55" w:rsidRDefault="008E4C55" w:rsidP="008E4C55">
      <w:pPr>
        <w:pStyle w:val="Paragraphedeliste"/>
        <w:numPr>
          <w:ilvl w:val="0"/>
          <w:numId w:val="7"/>
        </w:numPr>
        <w:jc w:val="both"/>
      </w:pPr>
      <w:r>
        <w:t>Arbres et haies remarquables ;</w:t>
      </w:r>
    </w:p>
    <w:p w:rsidR="00CF6AD9" w:rsidRPr="00D334CE" w:rsidRDefault="00EC3F9F" w:rsidP="00CF6AD9">
      <w:pPr>
        <w:pStyle w:val="Paragraphedeliste"/>
        <w:ind w:left="1776"/>
        <w:jc w:val="both"/>
        <w:rPr>
          <w:iCs/>
        </w:rPr>
      </w:pPr>
      <w:r w:rsidRPr="00EC3F9F">
        <w:rPr>
          <w:highlight w:val="yellow"/>
        </w:rPr>
        <w:t xml:space="preserve">Sans objet : pas d’arbres ou haies remarquables dans le </w:t>
      </w:r>
      <w:r w:rsidRPr="00CF6AD9">
        <w:rPr>
          <w:highlight w:val="yellow"/>
        </w:rPr>
        <w:t>périmètre.</w:t>
      </w:r>
      <w:r w:rsidR="00CF6AD9" w:rsidRPr="00CF6AD9">
        <w:rPr>
          <w:highlight w:val="yellow"/>
        </w:rPr>
        <w:t xml:space="preserve"> </w:t>
      </w:r>
      <w:r w:rsidR="00CF6AD9" w:rsidRPr="00CF6AD9">
        <w:rPr>
          <w:iCs/>
          <w:highlight w:val="yellow"/>
        </w:rPr>
        <w:t xml:space="preserve">La </w:t>
      </w:r>
      <w:r w:rsidR="00CF6AD9" w:rsidRPr="00D334CE">
        <w:rPr>
          <w:iCs/>
          <w:highlight w:val="yellow"/>
        </w:rPr>
        <w:t>situation future ne pourra être que meilleure au vu du type d’aménagement prévu (</w:t>
      </w:r>
      <w:proofErr w:type="spellStart"/>
      <w:r w:rsidR="00CF6AD9">
        <w:rPr>
          <w:iCs/>
          <w:highlight w:val="yellow"/>
        </w:rPr>
        <w:t>cf</w:t>
      </w:r>
      <w:proofErr w:type="spellEnd"/>
      <w:r w:rsidR="00CF6AD9">
        <w:rPr>
          <w:iCs/>
          <w:highlight w:val="yellow"/>
        </w:rPr>
        <w:t xml:space="preserve"> point </w:t>
      </w:r>
      <w:r w:rsidR="00CF6AD9" w:rsidRPr="00D334CE">
        <w:rPr>
          <w:i/>
          <w:iCs/>
          <w:highlight w:val="yellow"/>
        </w:rPr>
        <w:t>c)</w:t>
      </w:r>
      <w:r w:rsidR="00CF6AD9">
        <w:rPr>
          <w:iCs/>
          <w:highlight w:val="yellow"/>
        </w:rPr>
        <w:t xml:space="preserve"> supra)</w:t>
      </w:r>
      <w:r w:rsidR="00CF6AD9" w:rsidRPr="00D334CE">
        <w:rPr>
          <w:iCs/>
          <w:highlight w:val="yellow"/>
        </w:rPr>
        <w:t>.</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État des sols ;</w:t>
      </w:r>
    </w:p>
    <w:p w:rsidR="00EC3F9F" w:rsidRDefault="00A25D33" w:rsidP="00EC3F9F">
      <w:pPr>
        <w:pStyle w:val="Paragraphedeliste"/>
        <w:ind w:left="1776"/>
        <w:jc w:val="both"/>
      </w:pPr>
      <w:r w:rsidRPr="00427CEF">
        <w:rPr>
          <w:highlight w:val="yellow"/>
        </w:rPr>
        <w:t>L’ensemble des parcelles privées est repris sur la Banque de Données de l’Etat des Sols (BDES)</w:t>
      </w:r>
      <w:r w:rsidR="00427CEF" w:rsidRPr="00427CEF">
        <w:rPr>
          <w:highlight w:val="yellow"/>
        </w:rPr>
        <w:t xml:space="preserve"> comme étant un site à réaménager (</w:t>
      </w:r>
      <w:proofErr w:type="spellStart"/>
      <w:r w:rsidR="00427CEF" w:rsidRPr="00427CEF">
        <w:rPr>
          <w:highlight w:val="yellow"/>
        </w:rPr>
        <w:t>cf</w:t>
      </w:r>
      <w:proofErr w:type="spellEnd"/>
      <w:r w:rsidR="00427CEF" w:rsidRPr="00427CEF">
        <w:rPr>
          <w:highlight w:val="yellow"/>
        </w:rPr>
        <w:t xml:space="preserve"> la reconnaissance provisoire en tant que SAR évoquée ci-dessus).</w:t>
      </w:r>
      <w:r w:rsidR="00CF6AD9">
        <w:t xml:space="preserve"> </w:t>
      </w:r>
    </w:p>
    <w:p w:rsidR="00CF6AD9" w:rsidRPr="00D334CE" w:rsidRDefault="00CF6AD9" w:rsidP="00CF6AD9">
      <w:pPr>
        <w:pStyle w:val="Paragraphedeliste"/>
        <w:ind w:left="1776"/>
        <w:jc w:val="both"/>
        <w:rPr>
          <w:iCs/>
        </w:rPr>
      </w:pPr>
      <w:r w:rsidRPr="00D334CE">
        <w:rPr>
          <w:iCs/>
          <w:highlight w:val="yellow"/>
        </w:rPr>
        <w:t>La situation future ne pourra être que meilleure au vu du type d’aménagement prévu (</w:t>
      </w:r>
      <w:proofErr w:type="spellStart"/>
      <w:r>
        <w:rPr>
          <w:iCs/>
          <w:highlight w:val="yellow"/>
        </w:rPr>
        <w:t>cf</w:t>
      </w:r>
      <w:proofErr w:type="spellEnd"/>
      <w:r>
        <w:rPr>
          <w:iCs/>
          <w:highlight w:val="yellow"/>
        </w:rPr>
        <w:t xml:space="preserve"> point </w:t>
      </w:r>
      <w:r w:rsidRPr="00D334CE">
        <w:rPr>
          <w:i/>
          <w:iCs/>
          <w:highlight w:val="yellow"/>
        </w:rPr>
        <w:t>c)</w:t>
      </w:r>
      <w:r>
        <w:rPr>
          <w:iCs/>
          <w:highlight w:val="yellow"/>
        </w:rPr>
        <w:t xml:space="preserve"> supra)</w:t>
      </w:r>
      <w:r w:rsidRPr="00D334CE">
        <w:rPr>
          <w:iCs/>
          <w:highlight w:val="yellow"/>
        </w:rPr>
        <w:t>.</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lastRenderedPageBreak/>
        <w:t>Aléa inondation ;</w:t>
      </w:r>
    </w:p>
    <w:p w:rsidR="00EC3F9F" w:rsidRDefault="00EC3F9F" w:rsidP="00EC3F9F">
      <w:pPr>
        <w:pStyle w:val="Paragraphedeliste"/>
        <w:ind w:left="1776"/>
        <w:jc w:val="both"/>
        <w:rPr>
          <w:highlight w:val="yellow"/>
        </w:rPr>
      </w:pPr>
      <w:r w:rsidRPr="00AD4DBA">
        <w:rPr>
          <w:highlight w:val="yellow"/>
        </w:rPr>
        <w:t xml:space="preserve">Sans objet : pas d’aléa d’inondation relevé sur cette zone. </w:t>
      </w:r>
    </w:p>
    <w:p w:rsidR="0044524F" w:rsidRPr="00D334CE" w:rsidRDefault="0044524F" w:rsidP="0044524F">
      <w:pPr>
        <w:pStyle w:val="Paragraphedeliste"/>
        <w:ind w:left="1776"/>
        <w:jc w:val="both"/>
        <w:rPr>
          <w:iCs/>
        </w:rPr>
      </w:pPr>
      <w:r w:rsidRPr="00D334CE">
        <w:rPr>
          <w:iCs/>
          <w:highlight w:val="yellow"/>
        </w:rPr>
        <w:t>La situation future ne pourra être que meilleure au vu du type d’aménagement prévu (</w:t>
      </w:r>
      <w:proofErr w:type="spellStart"/>
      <w:r>
        <w:rPr>
          <w:iCs/>
          <w:highlight w:val="yellow"/>
        </w:rPr>
        <w:t>cf</w:t>
      </w:r>
      <w:proofErr w:type="spellEnd"/>
      <w:r>
        <w:rPr>
          <w:iCs/>
          <w:highlight w:val="yellow"/>
        </w:rPr>
        <w:t xml:space="preserve"> point </w:t>
      </w:r>
      <w:r w:rsidRPr="00D334CE">
        <w:rPr>
          <w:i/>
          <w:iCs/>
          <w:highlight w:val="yellow"/>
        </w:rPr>
        <w:t>c)</w:t>
      </w:r>
      <w:r>
        <w:rPr>
          <w:iCs/>
          <w:highlight w:val="yellow"/>
        </w:rPr>
        <w:t xml:space="preserve"> supra)</w:t>
      </w:r>
      <w:r w:rsidRPr="00D334CE">
        <w:rPr>
          <w:iCs/>
          <w:highlight w:val="yellow"/>
        </w:rPr>
        <w:t>.</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SEVESO ;</w:t>
      </w:r>
    </w:p>
    <w:p w:rsidR="00EC3F9F" w:rsidRDefault="00427CEF" w:rsidP="00EC3F9F">
      <w:pPr>
        <w:pStyle w:val="Paragraphedeliste"/>
        <w:ind w:left="1776"/>
        <w:jc w:val="both"/>
      </w:pPr>
      <w:r w:rsidRPr="00A25D33">
        <w:rPr>
          <w:highlight w:val="yellow"/>
        </w:rPr>
        <w:t xml:space="preserve">Sans objet : pas de </w:t>
      </w:r>
      <w:r w:rsidRPr="00427CEF">
        <w:rPr>
          <w:highlight w:val="yellow"/>
        </w:rPr>
        <w:t>périmètre SEVESO.</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Natura 2000 ;</w:t>
      </w:r>
    </w:p>
    <w:p w:rsidR="00EC3F9F" w:rsidRDefault="00A25D33" w:rsidP="00EC3F9F">
      <w:pPr>
        <w:pStyle w:val="Paragraphedeliste"/>
        <w:ind w:left="1776"/>
        <w:jc w:val="both"/>
      </w:pPr>
      <w:r w:rsidRPr="00A25D33">
        <w:rPr>
          <w:highlight w:val="yellow"/>
        </w:rPr>
        <w:t>Sans objet :</w:t>
      </w:r>
      <w:r w:rsidR="00427CEF">
        <w:rPr>
          <w:highlight w:val="yellow"/>
        </w:rPr>
        <w:t xml:space="preserve"> pas de périmètre </w:t>
      </w:r>
      <w:proofErr w:type="spellStart"/>
      <w:r w:rsidR="00427CEF">
        <w:rPr>
          <w:highlight w:val="yellow"/>
        </w:rPr>
        <w:t>Natura</w:t>
      </w:r>
      <w:proofErr w:type="spellEnd"/>
      <w:r w:rsidR="00427CEF">
        <w:rPr>
          <w:highlight w:val="yellow"/>
        </w:rPr>
        <w:t xml:space="preserve"> 2000 dans le périmètre ou à proximité.</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Réserves forestières ;</w:t>
      </w:r>
    </w:p>
    <w:p w:rsidR="00EC3F9F" w:rsidRDefault="00427CEF" w:rsidP="00EC3F9F">
      <w:pPr>
        <w:pStyle w:val="Paragraphedeliste"/>
        <w:ind w:left="1776"/>
        <w:jc w:val="both"/>
      </w:pPr>
      <w:r w:rsidRPr="00427CEF">
        <w:rPr>
          <w:highlight w:val="yellow"/>
        </w:rPr>
        <w:t>Sans objet : pas de réserve forestière dans le périmètre ou à proximité.</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Réserves naturelles domaniales ;</w:t>
      </w:r>
    </w:p>
    <w:p w:rsidR="00EC3F9F" w:rsidRDefault="00427CEF" w:rsidP="00EC3F9F">
      <w:pPr>
        <w:pStyle w:val="Paragraphedeliste"/>
        <w:ind w:left="1776"/>
        <w:jc w:val="both"/>
      </w:pPr>
      <w:r w:rsidRPr="00427CEF">
        <w:rPr>
          <w:highlight w:val="yellow"/>
        </w:rPr>
        <w:t xml:space="preserve">Sans objet : pas de réserve naturelle </w:t>
      </w:r>
      <w:r w:rsidR="005173B9">
        <w:rPr>
          <w:highlight w:val="yellow"/>
        </w:rPr>
        <w:t xml:space="preserve">domaniale </w:t>
      </w:r>
      <w:r w:rsidRPr="00427CEF">
        <w:rPr>
          <w:highlight w:val="yellow"/>
        </w:rPr>
        <w:t>dans le périmètre ou à proximité.</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Réserves naturelles agréées ;</w:t>
      </w:r>
    </w:p>
    <w:p w:rsidR="005173B9" w:rsidRDefault="005173B9" w:rsidP="005173B9">
      <w:pPr>
        <w:pStyle w:val="Paragraphedeliste"/>
        <w:ind w:left="1776"/>
        <w:jc w:val="both"/>
      </w:pPr>
      <w:r w:rsidRPr="00427CEF">
        <w:rPr>
          <w:highlight w:val="yellow"/>
        </w:rPr>
        <w:t xml:space="preserve">Sans objet : pas de réserve naturelle </w:t>
      </w:r>
      <w:r>
        <w:rPr>
          <w:highlight w:val="yellow"/>
        </w:rPr>
        <w:t xml:space="preserve">agréée </w:t>
      </w:r>
      <w:r w:rsidRPr="00427CEF">
        <w:rPr>
          <w:highlight w:val="yellow"/>
        </w:rPr>
        <w:t>dans le périmètre ou à proximité.</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Zone humide d’intérêt biologique ;</w:t>
      </w:r>
    </w:p>
    <w:p w:rsidR="00EC3F9F" w:rsidRPr="00E26C83" w:rsidRDefault="00E26C83" w:rsidP="00EC3F9F">
      <w:pPr>
        <w:pStyle w:val="Paragraphedeliste"/>
        <w:ind w:left="1776"/>
        <w:jc w:val="both"/>
      </w:pPr>
      <w:r w:rsidRPr="00E26C83">
        <w:rPr>
          <w:highlight w:val="yellow"/>
        </w:rPr>
        <w:t>Sans objet : pas de zone humide d’intérêt biologique dans le périmètre ou à proximité.</w:t>
      </w:r>
    </w:p>
    <w:p w:rsidR="00EC3F9F" w:rsidRDefault="00EC3F9F" w:rsidP="00EC3F9F">
      <w:pPr>
        <w:pStyle w:val="Paragraphedeliste"/>
        <w:ind w:left="1776"/>
        <w:jc w:val="both"/>
      </w:pPr>
    </w:p>
    <w:p w:rsidR="008E4C55" w:rsidRDefault="008E4C55" w:rsidP="008E4C55">
      <w:pPr>
        <w:pStyle w:val="Paragraphedeliste"/>
        <w:numPr>
          <w:ilvl w:val="0"/>
          <w:numId w:val="7"/>
        </w:numPr>
        <w:jc w:val="both"/>
      </w:pPr>
      <w:r>
        <w:t>Parcs naturels ;</w:t>
      </w:r>
    </w:p>
    <w:p w:rsidR="00684863" w:rsidRPr="00E26C83" w:rsidRDefault="00684863" w:rsidP="00F12EE6">
      <w:pPr>
        <w:pStyle w:val="Paragraphedeliste"/>
        <w:ind w:left="1776"/>
        <w:jc w:val="both"/>
      </w:pPr>
      <w:r w:rsidRPr="00E26C83">
        <w:rPr>
          <w:highlight w:val="yellow"/>
        </w:rPr>
        <w:t xml:space="preserve">Sans objet : pas de </w:t>
      </w:r>
      <w:r>
        <w:rPr>
          <w:highlight w:val="yellow"/>
        </w:rPr>
        <w:t>parc naturel</w:t>
      </w:r>
      <w:r w:rsidRPr="00E26C83">
        <w:rPr>
          <w:highlight w:val="yellow"/>
        </w:rPr>
        <w:t xml:space="preserve"> dans le périmètre ou à proximité.</w:t>
      </w:r>
    </w:p>
    <w:p w:rsidR="00EC3F9F" w:rsidRDefault="00EC3F9F" w:rsidP="00EC3F9F">
      <w:pPr>
        <w:pStyle w:val="Paragraphedeliste"/>
        <w:ind w:left="1776"/>
        <w:jc w:val="both"/>
      </w:pPr>
    </w:p>
    <w:p w:rsidR="00B54699" w:rsidRDefault="008E4C55" w:rsidP="00DA2C20">
      <w:pPr>
        <w:pStyle w:val="Paragraphedeliste"/>
        <w:numPr>
          <w:ilvl w:val="0"/>
          <w:numId w:val="7"/>
        </w:numPr>
        <w:spacing w:after="0"/>
      </w:pPr>
      <w:r>
        <w:t>Périmètre de site</w:t>
      </w:r>
      <w:r w:rsidR="00B54699">
        <w:t xml:space="preserve"> R</w:t>
      </w:r>
      <w:r>
        <w:t>AMSAR </w:t>
      </w:r>
      <w:r w:rsidR="00B54699">
        <w:t xml:space="preserve"> </w:t>
      </w:r>
    </w:p>
    <w:p w:rsidR="008E4C55" w:rsidRDefault="00B54699" w:rsidP="00DA2C20">
      <w:pPr>
        <w:spacing w:after="0"/>
        <w:ind w:left="1416"/>
      </w:pPr>
      <w:r>
        <w:t xml:space="preserve"> (</w:t>
      </w:r>
      <w:hyperlink r:id="rId8" w:history="1">
        <w:r>
          <w:rPr>
            <w:rStyle w:val="Lienhypertexte"/>
          </w:rPr>
          <w:t>https://www.ramsar.org/sites/default/files/documents/library/sitelist.pdf</w:t>
        </w:r>
      </w:hyperlink>
      <w:r>
        <w:t xml:space="preserve">) </w:t>
      </w:r>
      <w:r w:rsidR="008E4C55">
        <w:t>;</w:t>
      </w:r>
    </w:p>
    <w:p w:rsidR="00F12EE6" w:rsidRPr="00E26C83" w:rsidRDefault="00F12EE6" w:rsidP="00F12EE6">
      <w:pPr>
        <w:pStyle w:val="Paragraphedeliste"/>
        <w:ind w:left="1776"/>
        <w:jc w:val="both"/>
      </w:pPr>
      <w:r w:rsidRPr="00E26C83">
        <w:rPr>
          <w:highlight w:val="yellow"/>
        </w:rPr>
        <w:t xml:space="preserve">Sans objet : pas de </w:t>
      </w:r>
      <w:r>
        <w:rPr>
          <w:highlight w:val="yellow"/>
        </w:rPr>
        <w:t>site RAMSAR</w:t>
      </w:r>
      <w:r w:rsidRPr="00E26C83">
        <w:rPr>
          <w:highlight w:val="yellow"/>
        </w:rPr>
        <w:t xml:space="preserve"> dans le périmètre ou à proximité.</w:t>
      </w:r>
    </w:p>
    <w:p w:rsidR="00EC3F9F" w:rsidRDefault="00EC3F9F" w:rsidP="00F12EE6">
      <w:pPr>
        <w:pStyle w:val="Paragraphedeliste"/>
        <w:ind w:left="1776"/>
        <w:jc w:val="both"/>
      </w:pPr>
      <w:r>
        <w:tab/>
      </w:r>
    </w:p>
    <w:p w:rsidR="008E4C55" w:rsidRDefault="008E4C55" w:rsidP="00DA2C20">
      <w:pPr>
        <w:pStyle w:val="Paragraphedeliste"/>
        <w:numPr>
          <w:ilvl w:val="0"/>
          <w:numId w:val="7"/>
        </w:numPr>
        <w:spacing w:after="0"/>
        <w:jc w:val="both"/>
      </w:pPr>
      <w:r>
        <w:t>Zones de contraintes karstiques ;</w:t>
      </w:r>
    </w:p>
    <w:p w:rsidR="00684863" w:rsidRPr="00E26C83" w:rsidRDefault="00684863" w:rsidP="00684863">
      <w:pPr>
        <w:pStyle w:val="Paragraphedeliste"/>
        <w:ind w:left="1776"/>
        <w:jc w:val="both"/>
      </w:pPr>
      <w:r w:rsidRPr="00E26C83">
        <w:rPr>
          <w:highlight w:val="yellow"/>
        </w:rPr>
        <w:t xml:space="preserve">Sans objet : pas de </w:t>
      </w:r>
      <w:r>
        <w:rPr>
          <w:highlight w:val="yellow"/>
        </w:rPr>
        <w:t>contrainte karstique</w:t>
      </w:r>
      <w:r w:rsidRPr="00E26C83">
        <w:rPr>
          <w:highlight w:val="yellow"/>
        </w:rPr>
        <w:t xml:space="preserve"> </w:t>
      </w:r>
      <w:r>
        <w:rPr>
          <w:highlight w:val="yellow"/>
        </w:rPr>
        <w:t>dans le périmètre</w:t>
      </w:r>
      <w:r w:rsidRPr="00E26C83">
        <w:rPr>
          <w:highlight w:val="yellow"/>
        </w:rPr>
        <w:t>.</w:t>
      </w:r>
    </w:p>
    <w:p w:rsidR="00A27F21" w:rsidRDefault="00A27F21" w:rsidP="00A27F21">
      <w:pPr>
        <w:pStyle w:val="Paragraphedeliste"/>
        <w:spacing w:after="0"/>
        <w:ind w:left="1776"/>
        <w:jc w:val="both"/>
      </w:pPr>
    </w:p>
    <w:p w:rsidR="008E4C55" w:rsidRDefault="00DC4943" w:rsidP="008E4C55">
      <w:pPr>
        <w:pStyle w:val="Paragraphedeliste"/>
        <w:numPr>
          <w:ilvl w:val="0"/>
          <w:numId w:val="7"/>
        </w:numPr>
        <w:jc w:val="both"/>
      </w:pPr>
      <w:r>
        <w:t>Points de vue remarquables ;</w:t>
      </w:r>
    </w:p>
    <w:p w:rsidR="003657B6" w:rsidRPr="00E26C83" w:rsidRDefault="003657B6" w:rsidP="003657B6">
      <w:pPr>
        <w:pStyle w:val="Paragraphedeliste"/>
        <w:ind w:left="1776"/>
        <w:jc w:val="both"/>
      </w:pPr>
      <w:r w:rsidRPr="00E26C83">
        <w:rPr>
          <w:highlight w:val="yellow"/>
        </w:rPr>
        <w:t xml:space="preserve">Sans objet : pas de </w:t>
      </w:r>
      <w:r>
        <w:rPr>
          <w:highlight w:val="yellow"/>
        </w:rPr>
        <w:t>point de vue remarquable</w:t>
      </w:r>
      <w:r w:rsidRPr="00E26C83">
        <w:rPr>
          <w:highlight w:val="yellow"/>
        </w:rPr>
        <w:t xml:space="preserve"> </w:t>
      </w:r>
      <w:r>
        <w:rPr>
          <w:highlight w:val="yellow"/>
        </w:rPr>
        <w:t>dans le périmètre ou à proximité.</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Périmètre d’intérêt paysager ;</w:t>
      </w:r>
    </w:p>
    <w:p w:rsidR="00F54898" w:rsidRPr="00E26C83" w:rsidRDefault="00F54898" w:rsidP="00F54898">
      <w:pPr>
        <w:pStyle w:val="Paragraphedeliste"/>
        <w:ind w:left="1776"/>
        <w:jc w:val="both"/>
      </w:pPr>
      <w:r w:rsidRPr="00E26C83">
        <w:rPr>
          <w:highlight w:val="yellow"/>
        </w:rPr>
        <w:t xml:space="preserve">Sans objet : pas de </w:t>
      </w:r>
      <w:r>
        <w:rPr>
          <w:highlight w:val="yellow"/>
        </w:rPr>
        <w:t>de périmètre d’intérêt paysager</w:t>
      </w:r>
      <w:r w:rsidRPr="00E26C83">
        <w:rPr>
          <w:highlight w:val="yellow"/>
        </w:rPr>
        <w:t xml:space="preserve"> </w:t>
      </w:r>
      <w:r>
        <w:rPr>
          <w:highlight w:val="yellow"/>
        </w:rPr>
        <w:t>dans le périmètre ou à proximité.</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Liaisons écologiques ;</w:t>
      </w:r>
    </w:p>
    <w:p w:rsidR="00F54898" w:rsidRPr="00E26C83" w:rsidRDefault="00F54898" w:rsidP="00F54898">
      <w:pPr>
        <w:pStyle w:val="Paragraphedeliste"/>
        <w:ind w:left="1776"/>
        <w:jc w:val="both"/>
      </w:pPr>
      <w:r w:rsidRPr="00E26C83">
        <w:rPr>
          <w:highlight w:val="yellow"/>
        </w:rPr>
        <w:t xml:space="preserve">Sans objet : pas de </w:t>
      </w:r>
      <w:r>
        <w:rPr>
          <w:highlight w:val="yellow"/>
        </w:rPr>
        <w:t>liaison écologique</w:t>
      </w:r>
      <w:r w:rsidRPr="00E26C83">
        <w:rPr>
          <w:highlight w:val="yellow"/>
        </w:rPr>
        <w:t xml:space="preserve"> </w:t>
      </w:r>
      <w:r>
        <w:rPr>
          <w:highlight w:val="yellow"/>
        </w:rPr>
        <w:t>dans le périmètre ou à proximité.</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Zone de consultation de la DRIGM ;</w:t>
      </w:r>
    </w:p>
    <w:p w:rsidR="0045049E" w:rsidRPr="00E26C83" w:rsidRDefault="0045049E" w:rsidP="0045049E">
      <w:pPr>
        <w:pStyle w:val="Paragraphedeliste"/>
        <w:ind w:left="1776"/>
        <w:jc w:val="both"/>
      </w:pPr>
      <w:r w:rsidRPr="00E26C83">
        <w:rPr>
          <w:highlight w:val="yellow"/>
        </w:rPr>
        <w:t xml:space="preserve">Sans objet : pas de </w:t>
      </w:r>
      <w:r>
        <w:rPr>
          <w:highlight w:val="yellow"/>
        </w:rPr>
        <w:t>consultation de la DRIGM</w:t>
      </w:r>
      <w:r w:rsidRPr="00E26C83">
        <w:rPr>
          <w:highlight w:val="yellow"/>
        </w:rPr>
        <w:t xml:space="preserve"> </w:t>
      </w:r>
      <w:r>
        <w:rPr>
          <w:highlight w:val="yellow"/>
        </w:rPr>
        <w:t>dans le périmètre.</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 xml:space="preserve">Site </w:t>
      </w:r>
      <w:r w:rsidR="00A27F21">
        <w:t>de gestion des déchets miniers ;</w:t>
      </w:r>
    </w:p>
    <w:p w:rsidR="00A27F21" w:rsidRDefault="00427CEF" w:rsidP="00A27F21">
      <w:pPr>
        <w:pStyle w:val="Paragraphedeliste"/>
        <w:ind w:left="1776"/>
        <w:jc w:val="both"/>
      </w:pPr>
      <w:r w:rsidRPr="00427CEF">
        <w:rPr>
          <w:highlight w:val="yellow"/>
        </w:rPr>
        <w:lastRenderedPageBreak/>
        <w:t>Sans objet : pas de déchets miniers connus à cet endroit.</w:t>
      </w:r>
    </w:p>
    <w:p w:rsidR="00A27F21" w:rsidRDefault="00A27F21" w:rsidP="00A27F21">
      <w:pPr>
        <w:pStyle w:val="Paragraphedeliste"/>
        <w:ind w:left="1776"/>
        <w:jc w:val="both"/>
      </w:pPr>
    </w:p>
    <w:p w:rsidR="00DC4943" w:rsidRDefault="00A27F21" w:rsidP="008E4C55">
      <w:pPr>
        <w:pStyle w:val="Paragraphedeliste"/>
        <w:numPr>
          <w:ilvl w:val="0"/>
          <w:numId w:val="7"/>
        </w:numPr>
        <w:jc w:val="both"/>
      </w:pPr>
      <w:r>
        <w:t>Protection des captages ;</w:t>
      </w:r>
    </w:p>
    <w:p w:rsidR="00A27F21" w:rsidRDefault="00427CEF" w:rsidP="00A27F21">
      <w:pPr>
        <w:pStyle w:val="Paragraphedeliste"/>
        <w:ind w:left="1776"/>
        <w:jc w:val="both"/>
      </w:pPr>
      <w:r w:rsidRPr="00427CEF">
        <w:rPr>
          <w:highlight w:val="yellow"/>
        </w:rPr>
        <w:t>Sans objet : pas de captage d’eau dans le périmètre ou à proximité.</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Atlas du karst wallon ;</w:t>
      </w:r>
    </w:p>
    <w:p w:rsidR="00550380" w:rsidRPr="00E26C83" w:rsidRDefault="00550380" w:rsidP="00550380">
      <w:pPr>
        <w:pStyle w:val="Paragraphedeliste"/>
        <w:ind w:left="1776"/>
        <w:jc w:val="both"/>
      </w:pPr>
      <w:r w:rsidRPr="00E26C83">
        <w:rPr>
          <w:highlight w:val="yellow"/>
        </w:rPr>
        <w:t xml:space="preserve">Sans objet : </w:t>
      </w:r>
      <w:r>
        <w:rPr>
          <w:highlight w:val="yellow"/>
        </w:rPr>
        <w:t>l’Atlas ne mentionne rien au droit du périmètre</w:t>
      </w:r>
      <w:r w:rsidRPr="00E26C83">
        <w:rPr>
          <w:highlight w:val="yellow"/>
        </w:rPr>
        <w:t>.</w:t>
      </w:r>
    </w:p>
    <w:p w:rsidR="00A27F21" w:rsidRDefault="00A27F21" w:rsidP="00A27F21">
      <w:pPr>
        <w:pStyle w:val="Paragraphedeliste"/>
        <w:ind w:left="1776"/>
        <w:jc w:val="both"/>
      </w:pPr>
    </w:p>
    <w:p w:rsidR="00DC4943" w:rsidRDefault="00DC4943" w:rsidP="008E4C55">
      <w:pPr>
        <w:pStyle w:val="Paragraphedeliste"/>
        <w:numPr>
          <w:ilvl w:val="0"/>
          <w:numId w:val="7"/>
        </w:numPr>
        <w:jc w:val="both"/>
      </w:pPr>
      <w:r>
        <w:t>Zones inondables.</w:t>
      </w:r>
    </w:p>
    <w:p w:rsidR="00A27F21" w:rsidRDefault="00427CEF" w:rsidP="00A27F21">
      <w:pPr>
        <w:pStyle w:val="Paragraphedeliste"/>
        <w:ind w:left="1776"/>
        <w:jc w:val="both"/>
      </w:pPr>
      <w:r w:rsidRPr="00AD4DBA">
        <w:rPr>
          <w:highlight w:val="yellow"/>
        </w:rPr>
        <w:t>Sans objet : pas d’aléa d’inondation relevé sur cette zon</w:t>
      </w:r>
      <w:r>
        <w:rPr>
          <w:highlight w:val="yellow"/>
        </w:rPr>
        <w:t>e.</w:t>
      </w:r>
      <w:r w:rsidRPr="00A27F21">
        <w:rPr>
          <w:highlight w:val="green"/>
        </w:rPr>
        <w:t xml:space="preserve"> </w:t>
      </w:r>
    </w:p>
    <w:p w:rsidR="00900C99" w:rsidRDefault="00900C99" w:rsidP="00900C99">
      <w:pPr>
        <w:pStyle w:val="Paragraphedeliste"/>
        <w:ind w:left="708"/>
        <w:jc w:val="both"/>
      </w:pPr>
    </w:p>
    <w:p w:rsidR="00717C57" w:rsidRPr="00A23910" w:rsidRDefault="00900C99" w:rsidP="00A23910">
      <w:pPr>
        <w:jc w:val="both"/>
        <w:rPr>
          <w:i/>
          <w:iCs/>
          <w:sz w:val="24"/>
          <w:szCs w:val="24"/>
          <w:u w:val="single"/>
        </w:rPr>
      </w:pPr>
      <w:r w:rsidRPr="00A23910">
        <w:rPr>
          <w:i/>
          <w:iCs/>
          <w:sz w:val="24"/>
          <w:szCs w:val="24"/>
          <w:u w:val="single"/>
        </w:rPr>
        <w:t xml:space="preserve">2° les caractéristiques des incidences et de la zone susceptible d’être touchée, notamment : </w:t>
      </w:r>
    </w:p>
    <w:p w:rsidR="00717C57" w:rsidRDefault="00717C57" w:rsidP="00717C57">
      <w:pPr>
        <w:pStyle w:val="Paragraphedeliste"/>
        <w:numPr>
          <w:ilvl w:val="0"/>
          <w:numId w:val="6"/>
        </w:numPr>
        <w:jc w:val="both"/>
        <w:rPr>
          <w:i/>
          <w:iCs/>
        </w:rPr>
      </w:pPr>
      <w:r w:rsidRPr="00A23910">
        <w:rPr>
          <w:i/>
          <w:iCs/>
        </w:rPr>
        <w:t>La</w:t>
      </w:r>
      <w:r w:rsidR="00900C99" w:rsidRPr="00A23910">
        <w:rPr>
          <w:i/>
          <w:iCs/>
        </w:rPr>
        <w:t xml:space="preserve"> probabilité, la durée, la fréquence et le caractère réversible des incidences ; </w:t>
      </w:r>
    </w:p>
    <w:p w:rsidR="00CD0E18" w:rsidRDefault="00CD0E18" w:rsidP="00CD0E18">
      <w:pPr>
        <w:pStyle w:val="Paragraphedeliste"/>
        <w:ind w:left="1428"/>
        <w:jc w:val="both"/>
        <w:rPr>
          <w:iCs/>
        </w:rPr>
      </w:pPr>
      <w:r>
        <w:rPr>
          <w:iCs/>
          <w:highlight w:val="yellow"/>
        </w:rPr>
        <w:t>I</w:t>
      </w:r>
      <w:r w:rsidRPr="00B21B18">
        <w:rPr>
          <w:iCs/>
          <w:highlight w:val="yellow"/>
        </w:rPr>
        <w:t>l s’agit d’un projet (aménagement d’un espace vert) ne pouvant avoir qu’un impact positif</w:t>
      </w:r>
      <w:r>
        <w:rPr>
          <w:iCs/>
          <w:highlight w:val="yellow"/>
        </w:rPr>
        <w:t xml:space="preserve"> au sein du périmètre et, plus largement, pour les riverains du quartier</w:t>
      </w:r>
      <w:r w:rsidRPr="00B21B18">
        <w:rPr>
          <w:iCs/>
          <w:highlight w:val="yellow"/>
        </w:rPr>
        <w:t>.</w:t>
      </w:r>
    </w:p>
    <w:p w:rsidR="00CD0E18" w:rsidRPr="00B21B18" w:rsidRDefault="00CD0E18" w:rsidP="00CD0E18">
      <w:pPr>
        <w:pStyle w:val="Paragraphedeliste"/>
        <w:ind w:left="1428"/>
        <w:jc w:val="both"/>
        <w:rPr>
          <w:iCs/>
        </w:rPr>
      </w:pPr>
      <w:r w:rsidRPr="00951210">
        <w:rPr>
          <w:iCs/>
          <w:highlight w:val="yellow"/>
        </w:rPr>
        <w:t>Les seules nuisances attendues sont celles liées au chantier de démolition des constructions existantes</w:t>
      </w:r>
      <w:r w:rsidR="00951210" w:rsidRPr="00951210">
        <w:rPr>
          <w:iCs/>
          <w:highlight w:val="yellow"/>
        </w:rPr>
        <w:t xml:space="preserve"> (évacuation des décombres, assainissement éventuel des terres) et à l’aménagement de l’espace vert. Elles seront donc limitées dans le temps.</w:t>
      </w:r>
    </w:p>
    <w:p w:rsidR="006047BD" w:rsidRPr="00A23910" w:rsidRDefault="006047BD" w:rsidP="006047BD">
      <w:pPr>
        <w:pStyle w:val="Paragraphedeliste"/>
        <w:ind w:left="1428"/>
        <w:jc w:val="both"/>
        <w:rPr>
          <w:i/>
          <w:iCs/>
        </w:rPr>
      </w:pPr>
    </w:p>
    <w:p w:rsidR="00717C57" w:rsidRDefault="00717C57" w:rsidP="00717C57">
      <w:pPr>
        <w:pStyle w:val="Paragraphedeliste"/>
        <w:numPr>
          <w:ilvl w:val="0"/>
          <w:numId w:val="6"/>
        </w:numPr>
        <w:jc w:val="both"/>
        <w:rPr>
          <w:i/>
          <w:iCs/>
        </w:rPr>
      </w:pPr>
      <w:r w:rsidRPr="00A23910">
        <w:rPr>
          <w:i/>
          <w:iCs/>
        </w:rPr>
        <w:t>Le</w:t>
      </w:r>
      <w:r w:rsidR="00900C99" w:rsidRPr="00A23910">
        <w:rPr>
          <w:i/>
          <w:iCs/>
        </w:rPr>
        <w:t xml:space="preserve"> caractère cumulatif des incidences ; </w:t>
      </w:r>
    </w:p>
    <w:p w:rsidR="006047BD" w:rsidRPr="00BA6B96" w:rsidRDefault="00BA6B96" w:rsidP="006047BD">
      <w:pPr>
        <w:pStyle w:val="Paragraphedeliste"/>
        <w:ind w:left="1428"/>
        <w:jc w:val="both"/>
        <w:rPr>
          <w:iCs/>
        </w:rPr>
      </w:pPr>
      <w:r w:rsidRPr="00BA6B96">
        <w:rPr>
          <w:iCs/>
          <w:highlight w:val="yellow"/>
        </w:rPr>
        <w:t>Les incidences attendues de l’aménagement d’un espace vert sont positives tant en matière environnementale que sur le plan du bien-être des riverains ou de la cohésion sociale.</w:t>
      </w:r>
    </w:p>
    <w:p w:rsidR="006047BD" w:rsidRPr="00A23910" w:rsidRDefault="006047BD" w:rsidP="006047BD">
      <w:pPr>
        <w:pStyle w:val="Paragraphedeliste"/>
        <w:ind w:left="1428"/>
        <w:jc w:val="both"/>
        <w:rPr>
          <w:i/>
          <w:iCs/>
        </w:rPr>
      </w:pPr>
    </w:p>
    <w:p w:rsidR="00717C57" w:rsidRDefault="00717C57" w:rsidP="00717C57">
      <w:pPr>
        <w:pStyle w:val="Paragraphedeliste"/>
        <w:numPr>
          <w:ilvl w:val="0"/>
          <w:numId w:val="6"/>
        </w:numPr>
        <w:jc w:val="both"/>
        <w:rPr>
          <w:i/>
          <w:iCs/>
        </w:rPr>
      </w:pPr>
      <w:r w:rsidRPr="00A23910">
        <w:rPr>
          <w:i/>
          <w:iCs/>
        </w:rPr>
        <w:t>La</w:t>
      </w:r>
      <w:r w:rsidR="00900C99" w:rsidRPr="00A23910">
        <w:rPr>
          <w:i/>
          <w:iCs/>
        </w:rPr>
        <w:t xml:space="preserve"> nature transfrontalière des incidences ; </w:t>
      </w:r>
    </w:p>
    <w:p w:rsidR="006047BD" w:rsidRPr="00B21B18" w:rsidRDefault="00963872" w:rsidP="006047BD">
      <w:pPr>
        <w:pStyle w:val="Paragraphedeliste"/>
        <w:ind w:left="1428"/>
        <w:jc w:val="both"/>
        <w:rPr>
          <w:iCs/>
        </w:rPr>
      </w:pPr>
      <w:r w:rsidRPr="00B21B18">
        <w:rPr>
          <w:iCs/>
          <w:highlight w:val="yellow"/>
        </w:rPr>
        <w:t>Sans objet : il s’agit d’un aménagement ne pouvant avoir un impact positif qu’à l’échelle locale.</w:t>
      </w:r>
    </w:p>
    <w:p w:rsidR="006047BD" w:rsidRPr="00A23910" w:rsidRDefault="006047BD" w:rsidP="006047BD">
      <w:pPr>
        <w:pStyle w:val="Paragraphedeliste"/>
        <w:ind w:left="1428"/>
        <w:jc w:val="both"/>
        <w:rPr>
          <w:i/>
          <w:iCs/>
        </w:rPr>
      </w:pPr>
    </w:p>
    <w:p w:rsidR="00717C57" w:rsidRDefault="00717C57" w:rsidP="00717C57">
      <w:pPr>
        <w:pStyle w:val="Paragraphedeliste"/>
        <w:numPr>
          <w:ilvl w:val="0"/>
          <w:numId w:val="6"/>
        </w:numPr>
        <w:jc w:val="both"/>
        <w:rPr>
          <w:i/>
          <w:iCs/>
        </w:rPr>
      </w:pPr>
      <w:r w:rsidRPr="00A23910">
        <w:rPr>
          <w:i/>
          <w:iCs/>
        </w:rPr>
        <w:t>Les</w:t>
      </w:r>
      <w:r w:rsidR="00900C99" w:rsidRPr="00A23910">
        <w:rPr>
          <w:i/>
          <w:iCs/>
        </w:rPr>
        <w:t xml:space="preserve"> risques pour la santé humaine ou pour l’environnement ; </w:t>
      </w:r>
    </w:p>
    <w:p w:rsidR="006047BD" w:rsidRPr="00B21B18" w:rsidRDefault="00B21B18" w:rsidP="006047BD">
      <w:pPr>
        <w:pStyle w:val="Paragraphedeliste"/>
        <w:ind w:left="1428"/>
        <w:jc w:val="both"/>
        <w:rPr>
          <w:iCs/>
        </w:rPr>
      </w:pPr>
      <w:r w:rsidRPr="00B21B18">
        <w:rPr>
          <w:iCs/>
          <w:highlight w:val="yellow"/>
        </w:rPr>
        <w:t>Sans objet : il s’agit d’un projet (aménagement d’un espace vert) ne pouvant avoir qu’un impact positif.</w:t>
      </w:r>
    </w:p>
    <w:p w:rsidR="006047BD" w:rsidRPr="00A23910" w:rsidRDefault="006047BD" w:rsidP="006047BD">
      <w:pPr>
        <w:pStyle w:val="Paragraphedeliste"/>
        <w:ind w:left="1428"/>
        <w:jc w:val="both"/>
        <w:rPr>
          <w:i/>
          <w:iCs/>
        </w:rPr>
      </w:pPr>
    </w:p>
    <w:p w:rsidR="00717C57" w:rsidRDefault="00717C57" w:rsidP="00717C57">
      <w:pPr>
        <w:pStyle w:val="Paragraphedeliste"/>
        <w:numPr>
          <w:ilvl w:val="0"/>
          <w:numId w:val="6"/>
        </w:numPr>
        <w:jc w:val="both"/>
        <w:rPr>
          <w:i/>
          <w:iCs/>
        </w:rPr>
      </w:pPr>
      <w:r w:rsidRPr="00A23910">
        <w:rPr>
          <w:i/>
          <w:iCs/>
        </w:rPr>
        <w:t>La</w:t>
      </w:r>
      <w:r w:rsidR="00900C99" w:rsidRPr="00A23910">
        <w:rPr>
          <w:i/>
          <w:iCs/>
        </w:rPr>
        <w:t xml:space="preserve"> magnitude et l’étendue spatiale géographique des incidences, à savoir la zone géographique et la taille de la population susceptible d’être touchée ; </w:t>
      </w:r>
    </w:p>
    <w:p w:rsidR="00951210" w:rsidRDefault="00951210" w:rsidP="00951210">
      <w:pPr>
        <w:pStyle w:val="Paragraphedeliste"/>
        <w:ind w:left="1428"/>
        <w:jc w:val="both"/>
        <w:rPr>
          <w:iCs/>
        </w:rPr>
      </w:pPr>
      <w:r>
        <w:rPr>
          <w:iCs/>
          <w:highlight w:val="yellow"/>
        </w:rPr>
        <w:t>I</w:t>
      </w:r>
      <w:r w:rsidRPr="00B21B18">
        <w:rPr>
          <w:iCs/>
          <w:highlight w:val="yellow"/>
        </w:rPr>
        <w:t>l s’agit d’un projet (aménagement d’un espace vert) ne pouvant avoir qu’un impact positif</w:t>
      </w:r>
      <w:r>
        <w:rPr>
          <w:iCs/>
          <w:highlight w:val="yellow"/>
        </w:rPr>
        <w:t xml:space="preserve"> au sein du périmètre et, plus largement, pour les riverains du quartier</w:t>
      </w:r>
      <w:r w:rsidRPr="00B21B18">
        <w:rPr>
          <w:iCs/>
          <w:highlight w:val="yellow"/>
        </w:rPr>
        <w:t>.</w:t>
      </w:r>
    </w:p>
    <w:p w:rsidR="006047BD" w:rsidRPr="00A23910" w:rsidRDefault="006047BD" w:rsidP="006047BD">
      <w:pPr>
        <w:pStyle w:val="Paragraphedeliste"/>
        <w:ind w:left="1428"/>
        <w:jc w:val="both"/>
        <w:rPr>
          <w:i/>
          <w:iCs/>
        </w:rPr>
      </w:pPr>
    </w:p>
    <w:p w:rsidR="00717C57" w:rsidRPr="00A23910" w:rsidRDefault="00717C57" w:rsidP="00717C57">
      <w:pPr>
        <w:pStyle w:val="Paragraphedeliste"/>
        <w:numPr>
          <w:ilvl w:val="0"/>
          <w:numId w:val="6"/>
        </w:numPr>
        <w:jc w:val="both"/>
        <w:rPr>
          <w:i/>
          <w:iCs/>
        </w:rPr>
      </w:pPr>
      <w:r w:rsidRPr="00A23910">
        <w:rPr>
          <w:i/>
          <w:iCs/>
        </w:rPr>
        <w:t>La</w:t>
      </w:r>
      <w:r w:rsidR="00900C99" w:rsidRPr="00A23910">
        <w:rPr>
          <w:i/>
          <w:iCs/>
        </w:rPr>
        <w:t xml:space="preserve"> valeur et la vulnérabilité de la zone susceptible d’être touchée, en raison : </w:t>
      </w:r>
    </w:p>
    <w:p w:rsidR="00717C57" w:rsidRDefault="00717C57" w:rsidP="00717C57">
      <w:pPr>
        <w:pStyle w:val="Paragraphedeliste"/>
        <w:numPr>
          <w:ilvl w:val="1"/>
          <w:numId w:val="6"/>
        </w:numPr>
        <w:jc w:val="both"/>
      </w:pPr>
      <w:r>
        <w:t>De</w:t>
      </w:r>
      <w:r w:rsidR="00900C99">
        <w:t xml:space="preserve"> caractéristiques naturelles ou d’un patrimoine culturel particulier ; </w:t>
      </w:r>
    </w:p>
    <w:p w:rsidR="006047BD" w:rsidRDefault="0009054A" w:rsidP="006047BD">
      <w:pPr>
        <w:pStyle w:val="Paragraphedeliste"/>
        <w:ind w:left="2148"/>
        <w:jc w:val="both"/>
      </w:pPr>
      <w:r w:rsidRPr="0009054A">
        <w:rPr>
          <w:highlight w:val="yellow"/>
        </w:rPr>
        <w:t>Le périmètre et ses abords directs n’ont pas de valeur naturelle ou culturelle particulière. Au vu du type d’aménagement prévu, la situation future ne pourra être qu’améliorée.</w:t>
      </w:r>
    </w:p>
    <w:p w:rsidR="006047BD" w:rsidRDefault="006047BD" w:rsidP="006047BD">
      <w:pPr>
        <w:pStyle w:val="Paragraphedeliste"/>
        <w:ind w:left="2148"/>
        <w:jc w:val="both"/>
      </w:pPr>
    </w:p>
    <w:p w:rsidR="00717C57" w:rsidRDefault="00717C57" w:rsidP="00717C57">
      <w:pPr>
        <w:pStyle w:val="Paragraphedeliste"/>
        <w:numPr>
          <w:ilvl w:val="1"/>
          <w:numId w:val="6"/>
        </w:numPr>
        <w:jc w:val="both"/>
      </w:pPr>
      <w:r>
        <w:t>D’un</w:t>
      </w:r>
      <w:r w:rsidR="00900C99">
        <w:t xml:space="preserve"> dépassement des normes de qualité environnementales ou des valeurs limites ; </w:t>
      </w:r>
    </w:p>
    <w:p w:rsidR="002A2A0E" w:rsidRPr="00D334CE" w:rsidRDefault="002A2A0E" w:rsidP="002A2A0E">
      <w:pPr>
        <w:pStyle w:val="Paragraphedeliste"/>
        <w:ind w:left="2124"/>
        <w:jc w:val="both"/>
        <w:rPr>
          <w:iCs/>
        </w:rPr>
      </w:pPr>
      <w:r>
        <w:rPr>
          <w:iCs/>
          <w:highlight w:val="yellow"/>
        </w:rPr>
        <w:t>Au vu du type d’aménagement prévu, l</w:t>
      </w:r>
      <w:r w:rsidRPr="00D334CE">
        <w:rPr>
          <w:iCs/>
          <w:highlight w:val="yellow"/>
        </w:rPr>
        <w:t>a situation future ne pourra être qu</w:t>
      </w:r>
      <w:r>
        <w:rPr>
          <w:iCs/>
          <w:highlight w:val="yellow"/>
        </w:rPr>
        <w:t>’améliorée</w:t>
      </w:r>
      <w:r w:rsidRPr="00D334CE">
        <w:rPr>
          <w:iCs/>
          <w:highlight w:val="yellow"/>
        </w:rPr>
        <w:t>.</w:t>
      </w:r>
    </w:p>
    <w:p w:rsidR="006047BD" w:rsidRDefault="006047BD" w:rsidP="006047BD">
      <w:pPr>
        <w:pStyle w:val="Paragraphedeliste"/>
        <w:ind w:left="2148"/>
        <w:jc w:val="both"/>
      </w:pPr>
    </w:p>
    <w:p w:rsidR="006047BD" w:rsidRDefault="006047BD" w:rsidP="006047BD">
      <w:pPr>
        <w:pStyle w:val="Paragraphedeliste"/>
        <w:ind w:left="2148"/>
        <w:jc w:val="both"/>
      </w:pPr>
    </w:p>
    <w:p w:rsidR="00717C57" w:rsidRDefault="00717C57" w:rsidP="00717C57">
      <w:pPr>
        <w:pStyle w:val="Paragraphedeliste"/>
        <w:numPr>
          <w:ilvl w:val="1"/>
          <w:numId w:val="6"/>
        </w:numPr>
        <w:jc w:val="both"/>
      </w:pPr>
      <w:r>
        <w:t>De</w:t>
      </w:r>
      <w:r w:rsidR="00900C99">
        <w:t xml:space="preserve"> l’exploitation intensive des sols ; </w:t>
      </w:r>
    </w:p>
    <w:p w:rsidR="006047BD" w:rsidRDefault="002A2A0E" w:rsidP="006047BD">
      <w:pPr>
        <w:pStyle w:val="Paragraphedeliste"/>
        <w:ind w:left="2148"/>
        <w:jc w:val="both"/>
      </w:pPr>
      <w:r w:rsidRPr="002A2A0E">
        <w:rPr>
          <w:highlight w:val="yellow"/>
        </w:rPr>
        <w:t>Sans objet : le projet ne prévoit pas d’exploiter les sols de manière intensive. Les constructions existantes seront supprimées et, en cas de besoin, les terres seront assainies.</w:t>
      </w:r>
    </w:p>
    <w:p w:rsidR="006047BD" w:rsidRDefault="006047BD" w:rsidP="006047BD">
      <w:pPr>
        <w:pStyle w:val="Paragraphedeliste"/>
        <w:ind w:left="2148"/>
        <w:jc w:val="both"/>
      </w:pPr>
    </w:p>
    <w:p w:rsidR="00900C99" w:rsidRDefault="00717C57" w:rsidP="00717C57">
      <w:pPr>
        <w:pStyle w:val="Paragraphedeliste"/>
        <w:numPr>
          <w:ilvl w:val="0"/>
          <w:numId w:val="6"/>
        </w:numPr>
        <w:jc w:val="both"/>
        <w:rPr>
          <w:i/>
          <w:iCs/>
        </w:rPr>
      </w:pPr>
      <w:r w:rsidRPr="00A23910">
        <w:rPr>
          <w:i/>
          <w:iCs/>
        </w:rPr>
        <w:t>Les</w:t>
      </w:r>
      <w:r w:rsidR="00900C99" w:rsidRPr="00A23910">
        <w:rPr>
          <w:i/>
          <w:iCs/>
        </w:rPr>
        <w:t xml:space="preserve"> incidences pour des zones ou des paysages jouissant d’un statut de protection</w:t>
      </w:r>
      <w:r w:rsidR="00900C99">
        <w:t xml:space="preserve"> </w:t>
      </w:r>
      <w:r w:rsidR="00900C99" w:rsidRPr="00A23910">
        <w:rPr>
          <w:i/>
          <w:iCs/>
        </w:rPr>
        <w:t>reconnu au niveau national, européen ou international.</w:t>
      </w:r>
    </w:p>
    <w:p w:rsidR="008A0607" w:rsidRPr="00B21B18" w:rsidRDefault="008A0607" w:rsidP="008A0607">
      <w:pPr>
        <w:pStyle w:val="Paragraphedeliste"/>
        <w:ind w:left="1428"/>
        <w:jc w:val="both"/>
        <w:rPr>
          <w:iCs/>
        </w:rPr>
      </w:pPr>
      <w:r w:rsidRPr="00B21B18">
        <w:rPr>
          <w:iCs/>
          <w:highlight w:val="yellow"/>
        </w:rPr>
        <w:t xml:space="preserve">Sans objet : </w:t>
      </w:r>
      <w:r>
        <w:rPr>
          <w:iCs/>
          <w:highlight w:val="yellow"/>
        </w:rPr>
        <w:t>ce type de zone n’est pas présent dans le périmètre ou à proximité de celui-ci. Par ailleurs, si un impact était à prévoir, il serait</w:t>
      </w:r>
      <w:r w:rsidR="000450C4">
        <w:rPr>
          <w:iCs/>
          <w:highlight w:val="yellow"/>
        </w:rPr>
        <w:t xml:space="preserve"> positif, le </w:t>
      </w:r>
      <w:r w:rsidRPr="00B21B18">
        <w:rPr>
          <w:iCs/>
          <w:highlight w:val="yellow"/>
        </w:rPr>
        <w:t>projet</w:t>
      </w:r>
      <w:r w:rsidR="000450C4">
        <w:rPr>
          <w:iCs/>
          <w:highlight w:val="yellow"/>
        </w:rPr>
        <w:t xml:space="preserve"> prévoyant l’</w:t>
      </w:r>
      <w:r w:rsidRPr="00B21B18">
        <w:rPr>
          <w:iCs/>
          <w:highlight w:val="yellow"/>
        </w:rPr>
        <w:t>aménagement d’un espace vert</w:t>
      </w:r>
      <w:r w:rsidR="000450C4">
        <w:rPr>
          <w:iCs/>
          <w:highlight w:val="yellow"/>
        </w:rPr>
        <w:t xml:space="preserve"> en lieu et place d’une zone commerciale</w:t>
      </w:r>
      <w:r w:rsidRPr="00B21B18">
        <w:rPr>
          <w:iCs/>
          <w:highlight w:val="yellow"/>
        </w:rPr>
        <w:t>.</w:t>
      </w:r>
    </w:p>
    <w:p w:rsidR="00DC4943" w:rsidRDefault="00DC4943" w:rsidP="00DC4943">
      <w:pPr>
        <w:jc w:val="both"/>
      </w:pPr>
      <w:r>
        <w:t>En conclusion, comme démontré ci-dessus, le périmètre SAR « </w:t>
      </w:r>
      <w:r w:rsidR="00EC3F9F" w:rsidRPr="00EC3F9F">
        <w:rPr>
          <w:highlight w:val="yellow"/>
        </w:rPr>
        <w:t>Ancien Aldi</w:t>
      </w:r>
      <w:r>
        <w:t xml:space="preserve"> » ne constitue qu’une modification mineure </w:t>
      </w:r>
      <w:r w:rsidR="00843EBB">
        <w:t xml:space="preserve">des plans et schémas </w:t>
      </w:r>
      <w:r>
        <w:t>applicables en son sein et sa création n’est pas susceptible d’engendrer des inciden</w:t>
      </w:r>
      <w:bookmarkStart w:id="2" w:name="_GoBack"/>
      <w:bookmarkEnd w:id="2"/>
      <w:r>
        <w:t xml:space="preserve">ces notables sur l’environnement. </w:t>
      </w:r>
    </w:p>
    <w:sectPr w:rsidR="00DC494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41649" w:rsidRDefault="00C41649" w:rsidP="00717C57">
      <w:pPr>
        <w:spacing w:after="0" w:line="240" w:lineRule="auto"/>
      </w:pPr>
      <w:r>
        <w:separator/>
      </w:r>
    </w:p>
  </w:endnote>
  <w:endnote w:type="continuationSeparator" w:id="0">
    <w:p w:rsidR="00C41649" w:rsidRDefault="00C41649" w:rsidP="00717C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41649" w:rsidRDefault="00C41649" w:rsidP="00717C57">
      <w:pPr>
        <w:spacing w:after="0" w:line="240" w:lineRule="auto"/>
      </w:pPr>
      <w:r>
        <w:separator/>
      </w:r>
    </w:p>
  </w:footnote>
  <w:footnote w:type="continuationSeparator" w:id="0">
    <w:p w:rsidR="00C41649" w:rsidRDefault="00C41649" w:rsidP="00717C57">
      <w:pPr>
        <w:spacing w:after="0" w:line="240" w:lineRule="auto"/>
      </w:pPr>
      <w:r>
        <w:continuationSeparator/>
      </w:r>
    </w:p>
  </w:footnote>
  <w:footnote w:id="1">
    <w:p w:rsidR="00B54699" w:rsidRDefault="00B54699" w:rsidP="00B54699">
      <w:pPr>
        <w:jc w:val="both"/>
      </w:pPr>
      <w:r>
        <w:rPr>
          <w:rStyle w:val="Appelnotedebasdep"/>
        </w:rPr>
        <w:footnoteRef/>
      </w:r>
      <w:r>
        <w:t xml:space="preserve"> Il appartient au demandeur d’éventuellement compléter cette liste en fonction de l’évolution des législations européennes, nationales ou régionales ou de la jurisprudence.</w:t>
      </w:r>
    </w:p>
    <w:p w:rsidR="00B54699" w:rsidRDefault="00B54699">
      <w:pPr>
        <w:pStyle w:val="Notedebasdepag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83"/>
    <w:multiLevelType w:val="singleLevel"/>
    <w:tmpl w:val="6D443220"/>
    <w:lvl w:ilvl="0">
      <w:start w:val="1"/>
      <w:numFmt w:val="bullet"/>
      <w:pStyle w:val="Listepuces2"/>
      <w:lvlText w:val="–"/>
      <w:lvlJc w:val="left"/>
      <w:pPr>
        <w:tabs>
          <w:tab w:val="num" w:pos="700"/>
        </w:tabs>
        <w:ind w:left="680" w:hanging="340"/>
      </w:pPr>
      <w:rPr>
        <w:rFonts w:ascii="Times New Roman" w:eastAsia="Times New Roman" w:hAnsi="Times New Roman" w:cs="Times New Roman" w:hint="default"/>
      </w:rPr>
    </w:lvl>
  </w:abstractNum>
  <w:abstractNum w:abstractNumId="1">
    <w:nsid w:val="01623292"/>
    <w:multiLevelType w:val="hybridMultilevel"/>
    <w:tmpl w:val="7B64392E"/>
    <w:lvl w:ilvl="0" w:tplc="FFFFFFFF">
      <w:start w:val="1"/>
      <w:numFmt w:val="bullet"/>
      <w:pStyle w:val="Listepuces"/>
      <w:lvlText w:val=""/>
      <w:lvlJc w:val="left"/>
      <w:pPr>
        <w:tabs>
          <w:tab w:val="num" w:pos="360"/>
        </w:tabs>
        <w:ind w:left="360" w:hanging="360"/>
      </w:pPr>
      <w:rPr>
        <w:rFonts w:ascii="Symbol" w:hAnsi="Symbol" w:hint="default"/>
      </w:rPr>
    </w:lvl>
    <w:lvl w:ilvl="1" w:tplc="FFFFFFFF">
      <w:start w:val="1"/>
      <w:numFmt w:val="bullet"/>
      <w:lvlText w:val=""/>
      <w:lvlJc w:val="left"/>
      <w:pPr>
        <w:tabs>
          <w:tab w:val="num" w:pos="1440"/>
        </w:tabs>
        <w:ind w:left="1440" w:hanging="360"/>
      </w:pPr>
      <w:rPr>
        <w:rFonts w:ascii="Symbol" w:hAnsi="Symbo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nsid w:val="08DB5DD6"/>
    <w:multiLevelType w:val="hybridMultilevel"/>
    <w:tmpl w:val="4D0C449A"/>
    <w:lvl w:ilvl="0" w:tplc="080C0001">
      <w:start w:val="1"/>
      <w:numFmt w:val="bullet"/>
      <w:lvlText w:val=""/>
      <w:lvlJc w:val="left"/>
      <w:pPr>
        <w:ind w:left="720" w:hanging="360"/>
      </w:pPr>
      <w:rPr>
        <w:rFonts w:ascii="Symbol" w:hAnsi="Symbol" w:hint="default"/>
      </w:rPr>
    </w:lvl>
    <w:lvl w:ilvl="1" w:tplc="080C0001">
      <w:start w:val="1"/>
      <w:numFmt w:val="bullet"/>
      <w:lvlText w:val=""/>
      <w:lvlJc w:val="left"/>
      <w:pPr>
        <w:ind w:left="1440" w:hanging="360"/>
      </w:pPr>
      <w:rPr>
        <w:rFonts w:ascii="Symbol" w:hAnsi="Symbol"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2B731B7"/>
    <w:multiLevelType w:val="singleLevel"/>
    <w:tmpl w:val="866ECDFE"/>
    <w:lvl w:ilvl="0">
      <w:start w:val="1"/>
      <w:numFmt w:val="bullet"/>
      <w:lvlText w:val=""/>
      <w:lvlJc w:val="left"/>
      <w:pPr>
        <w:tabs>
          <w:tab w:val="num" w:pos="360"/>
        </w:tabs>
        <w:ind w:left="360" w:hanging="360"/>
      </w:pPr>
      <w:rPr>
        <w:rFonts w:ascii="Symbol" w:hAnsi="Symbol" w:hint="default"/>
      </w:rPr>
    </w:lvl>
  </w:abstractNum>
  <w:abstractNum w:abstractNumId="4">
    <w:nsid w:val="24DA68A1"/>
    <w:multiLevelType w:val="hybridMultilevel"/>
    <w:tmpl w:val="1116BB2A"/>
    <w:lvl w:ilvl="0" w:tplc="683C20D4">
      <w:start w:val="1"/>
      <w:numFmt w:val="bullet"/>
      <w:lvlText w:val=""/>
      <w:lvlJc w:val="left"/>
      <w:pPr>
        <w:ind w:left="1080" w:hanging="360"/>
      </w:pPr>
      <w:rPr>
        <w:rFonts w:ascii="Wingdings" w:eastAsiaTheme="minorHAnsi" w:hAnsi="Wingdings" w:cstheme="minorBidi" w:hint="default"/>
      </w:rPr>
    </w:lvl>
    <w:lvl w:ilvl="1" w:tplc="080C0003">
      <w:start w:val="1"/>
      <w:numFmt w:val="bullet"/>
      <w:lvlText w:val="o"/>
      <w:lvlJc w:val="left"/>
      <w:pPr>
        <w:ind w:left="1800" w:hanging="360"/>
      </w:pPr>
      <w:rPr>
        <w:rFonts w:ascii="Courier New" w:hAnsi="Courier New" w:cs="Courier New" w:hint="default"/>
      </w:rPr>
    </w:lvl>
    <w:lvl w:ilvl="2" w:tplc="E690D838">
      <w:numFmt w:val="bullet"/>
      <w:lvlText w:val="-"/>
      <w:lvlJc w:val="left"/>
      <w:pPr>
        <w:ind w:left="2520" w:hanging="360"/>
      </w:pPr>
      <w:rPr>
        <w:rFonts w:ascii="Calibri" w:eastAsiaTheme="minorHAnsi" w:hAnsi="Calibri" w:cs="Arial"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5">
    <w:nsid w:val="35357998"/>
    <w:multiLevelType w:val="hybridMultilevel"/>
    <w:tmpl w:val="3552034A"/>
    <w:lvl w:ilvl="0" w:tplc="080C0017">
      <w:start w:val="1"/>
      <w:numFmt w:val="lowerLetter"/>
      <w:lvlText w:val="%1)"/>
      <w:lvlJc w:val="left"/>
      <w:pPr>
        <w:ind w:left="1428" w:hanging="360"/>
      </w:pPr>
    </w:lvl>
    <w:lvl w:ilvl="1" w:tplc="080C001B">
      <w:start w:val="1"/>
      <w:numFmt w:val="lowerRoman"/>
      <w:lvlText w:val="%2."/>
      <w:lvlJc w:val="righ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6">
    <w:nsid w:val="35B5176A"/>
    <w:multiLevelType w:val="hybridMultilevel"/>
    <w:tmpl w:val="E0582352"/>
    <w:lvl w:ilvl="0" w:tplc="080C0017">
      <w:start w:val="1"/>
      <w:numFmt w:val="lowerLetter"/>
      <w:lvlText w:val="%1)"/>
      <w:lvlJc w:val="left"/>
      <w:pPr>
        <w:ind w:left="1428" w:hanging="360"/>
      </w:pPr>
    </w:lvl>
    <w:lvl w:ilvl="1" w:tplc="080C0019" w:tentative="1">
      <w:start w:val="1"/>
      <w:numFmt w:val="lowerLetter"/>
      <w:lvlText w:val="%2."/>
      <w:lvlJc w:val="left"/>
      <w:pPr>
        <w:ind w:left="2148" w:hanging="360"/>
      </w:pPr>
    </w:lvl>
    <w:lvl w:ilvl="2" w:tplc="080C001B" w:tentative="1">
      <w:start w:val="1"/>
      <w:numFmt w:val="lowerRoman"/>
      <w:lvlText w:val="%3."/>
      <w:lvlJc w:val="right"/>
      <w:pPr>
        <w:ind w:left="2868" w:hanging="180"/>
      </w:pPr>
    </w:lvl>
    <w:lvl w:ilvl="3" w:tplc="080C000F" w:tentative="1">
      <w:start w:val="1"/>
      <w:numFmt w:val="decimal"/>
      <w:lvlText w:val="%4."/>
      <w:lvlJc w:val="left"/>
      <w:pPr>
        <w:ind w:left="3588" w:hanging="360"/>
      </w:pPr>
    </w:lvl>
    <w:lvl w:ilvl="4" w:tplc="080C0019" w:tentative="1">
      <w:start w:val="1"/>
      <w:numFmt w:val="lowerLetter"/>
      <w:lvlText w:val="%5."/>
      <w:lvlJc w:val="left"/>
      <w:pPr>
        <w:ind w:left="4308" w:hanging="360"/>
      </w:pPr>
    </w:lvl>
    <w:lvl w:ilvl="5" w:tplc="080C001B" w:tentative="1">
      <w:start w:val="1"/>
      <w:numFmt w:val="lowerRoman"/>
      <w:lvlText w:val="%6."/>
      <w:lvlJc w:val="right"/>
      <w:pPr>
        <w:ind w:left="5028" w:hanging="180"/>
      </w:pPr>
    </w:lvl>
    <w:lvl w:ilvl="6" w:tplc="080C000F" w:tentative="1">
      <w:start w:val="1"/>
      <w:numFmt w:val="decimal"/>
      <w:lvlText w:val="%7."/>
      <w:lvlJc w:val="left"/>
      <w:pPr>
        <w:ind w:left="5748" w:hanging="360"/>
      </w:pPr>
    </w:lvl>
    <w:lvl w:ilvl="7" w:tplc="080C0019" w:tentative="1">
      <w:start w:val="1"/>
      <w:numFmt w:val="lowerLetter"/>
      <w:lvlText w:val="%8."/>
      <w:lvlJc w:val="left"/>
      <w:pPr>
        <w:ind w:left="6468" w:hanging="360"/>
      </w:pPr>
    </w:lvl>
    <w:lvl w:ilvl="8" w:tplc="080C001B" w:tentative="1">
      <w:start w:val="1"/>
      <w:numFmt w:val="lowerRoman"/>
      <w:lvlText w:val="%9."/>
      <w:lvlJc w:val="right"/>
      <w:pPr>
        <w:ind w:left="7188" w:hanging="180"/>
      </w:pPr>
    </w:lvl>
  </w:abstractNum>
  <w:abstractNum w:abstractNumId="7">
    <w:nsid w:val="55585B42"/>
    <w:multiLevelType w:val="hybridMultilevel"/>
    <w:tmpl w:val="F9B418D8"/>
    <w:lvl w:ilvl="0" w:tplc="080C0017">
      <w:start w:val="1"/>
      <w:numFmt w:val="lowerLetter"/>
      <w:lvlText w:val="%1)"/>
      <w:lvlJc w:val="left"/>
      <w:pPr>
        <w:ind w:left="1068" w:hanging="360"/>
      </w:pPr>
    </w:lvl>
    <w:lvl w:ilvl="1" w:tplc="080C0003">
      <w:start w:val="1"/>
      <w:numFmt w:val="bullet"/>
      <w:lvlText w:val="o"/>
      <w:lvlJc w:val="left"/>
      <w:pPr>
        <w:ind w:left="1788" w:hanging="360"/>
      </w:pPr>
      <w:rPr>
        <w:rFonts w:ascii="Courier New" w:hAnsi="Courier New" w:cs="Courier New" w:hint="default"/>
      </w:rPr>
    </w:lvl>
    <w:lvl w:ilvl="2" w:tplc="080C001B">
      <w:start w:val="1"/>
      <w:numFmt w:val="lowerRoman"/>
      <w:lvlText w:val="%3."/>
      <w:lvlJc w:val="right"/>
      <w:pPr>
        <w:ind w:left="2508" w:hanging="180"/>
      </w:pPr>
    </w:lvl>
    <w:lvl w:ilvl="3" w:tplc="080C000F" w:tentative="1">
      <w:start w:val="1"/>
      <w:numFmt w:val="decimal"/>
      <w:lvlText w:val="%4."/>
      <w:lvlJc w:val="left"/>
      <w:pPr>
        <w:ind w:left="3228" w:hanging="360"/>
      </w:pPr>
    </w:lvl>
    <w:lvl w:ilvl="4" w:tplc="080C0019" w:tentative="1">
      <w:start w:val="1"/>
      <w:numFmt w:val="lowerLetter"/>
      <w:lvlText w:val="%5."/>
      <w:lvlJc w:val="left"/>
      <w:pPr>
        <w:ind w:left="3948" w:hanging="360"/>
      </w:pPr>
    </w:lvl>
    <w:lvl w:ilvl="5" w:tplc="080C001B" w:tentative="1">
      <w:start w:val="1"/>
      <w:numFmt w:val="lowerRoman"/>
      <w:lvlText w:val="%6."/>
      <w:lvlJc w:val="right"/>
      <w:pPr>
        <w:ind w:left="4668" w:hanging="180"/>
      </w:pPr>
    </w:lvl>
    <w:lvl w:ilvl="6" w:tplc="080C000F" w:tentative="1">
      <w:start w:val="1"/>
      <w:numFmt w:val="decimal"/>
      <w:lvlText w:val="%7."/>
      <w:lvlJc w:val="left"/>
      <w:pPr>
        <w:ind w:left="5388" w:hanging="360"/>
      </w:pPr>
    </w:lvl>
    <w:lvl w:ilvl="7" w:tplc="080C0019" w:tentative="1">
      <w:start w:val="1"/>
      <w:numFmt w:val="lowerLetter"/>
      <w:lvlText w:val="%8."/>
      <w:lvlJc w:val="left"/>
      <w:pPr>
        <w:ind w:left="6108" w:hanging="360"/>
      </w:pPr>
    </w:lvl>
    <w:lvl w:ilvl="8" w:tplc="080C001B" w:tentative="1">
      <w:start w:val="1"/>
      <w:numFmt w:val="lowerRoman"/>
      <w:lvlText w:val="%9."/>
      <w:lvlJc w:val="right"/>
      <w:pPr>
        <w:ind w:left="6828" w:hanging="180"/>
      </w:pPr>
    </w:lvl>
  </w:abstractNum>
  <w:abstractNum w:abstractNumId="8">
    <w:nsid w:val="698F60E2"/>
    <w:multiLevelType w:val="hybridMultilevel"/>
    <w:tmpl w:val="889AECFA"/>
    <w:lvl w:ilvl="0" w:tplc="080C000F">
      <w:start w:val="1"/>
      <w:numFmt w:val="decimal"/>
      <w:lvlText w:val="%1."/>
      <w:lvlJc w:val="left"/>
      <w:pPr>
        <w:ind w:left="360" w:hanging="360"/>
      </w:pPr>
      <w:rPr>
        <w:rFonts w:hint="default"/>
      </w:rPr>
    </w:lvl>
    <w:lvl w:ilvl="1" w:tplc="080C0019">
      <w:start w:val="1"/>
      <w:numFmt w:val="lowerLetter"/>
      <w:lvlText w:val="%2."/>
      <w:lvlJc w:val="left"/>
      <w:pPr>
        <w:ind w:left="1080" w:hanging="360"/>
      </w:pPr>
    </w:lvl>
    <w:lvl w:ilvl="2" w:tplc="080C001B" w:tentative="1">
      <w:start w:val="1"/>
      <w:numFmt w:val="lowerRoman"/>
      <w:lvlText w:val="%3."/>
      <w:lvlJc w:val="right"/>
      <w:pPr>
        <w:ind w:left="1800" w:hanging="180"/>
      </w:pPr>
    </w:lvl>
    <w:lvl w:ilvl="3" w:tplc="080C000F" w:tentative="1">
      <w:start w:val="1"/>
      <w:numFmt w:val="decimal"/>
      <w:lvlText w:val="%4."/>
      <w:lvlJc w:val="left"/>
      <w:pPr>
        <w:ind w:left="2520" w:hanging="360"/>
      </w:pPr>
    </w:lvl>
    <w:lvl w:ilvl="4" w:tplc="080C0019" w:tentative="1">
      <w:start w:val="1"/>
      <w:numFmt w:val="lowerLetter"/>
      <w:lvlText w:val="%5."/>
      <w:lvlJc w:val="left"/>
      <w:pPr>
        <w:ind w:left="3240" w:hanging="360"/>
      </w:pPr>
    </w:lvl>
    <w:lvl w:ilvl="5" w:tplc="080C001B" w:tentative="1">
      <w:start w:val="1"/>
      <w:numFmt w:val="lowerRoman"/>
      <w:lvlText w:val="%6."/>
      <w:lvlJc w:val="right"/>
      <w:pPr>
        <w:ind w:left="3960" w:hanging="180"/>
      </w:pPr>
    </w:lvl>
    <w:lvl w:ilvl="6" w:tplc="080C000F" w:tentative="1">
      <w:start w:val="1"/>
      <w:numFmt w:val="decimal"/>
      <w:lvlText w:val="%7."/>
      <w:lvlJc w:val="left"/>
      <w:pPr>
        <w:ind w:left="4680" w:hanging="360"/>
      </w:pPr>
    </w:lvl>
    <w:lvl w:ilvl="7" w:tplc="080C0019" w:tentative="1">
      <w:start w:val="1"/>
      <w:numFmt w:val="lowerLetter"/>
      <w:lvlText w:val="%8."/>
      <w:lvlJc w:val="left"/>
      <w:pPr>
        <w:ind w:left="5400" w:hanging="360"/>
      </w:pPr>
    </w:lvl>
    <w:lvl w:ilvl="8" w:tplc="080C001B" w:tentative="1">
      <w:start w:val="1"/>
      <w:numFmt w:val="lowerRoman"/>
      <w:lvlText w:val="%9."/>
      <w:lvlJc w:val="right"/>
      <w:pPr>
        <w:ind w:left="6120" w:hanging="180"/>
      </w:pPr>
    </w:lvl>
  </w:abstractNum>
  <w:abstractNum w:abstractNumId="9">
    <w:nsid w:val="6B9B5C6F"/>
    <w:multiLevelType w:val="hybridMultilevel"/>
    <w:tmpl w:val="8CB8F744"/>
    <w:lvl w:ilvl="0" w:tplc="080C0003">
      <w:start w:val="1"/>
      <w:numFmt w:val="bullet"/>
      <w:lvlText w:val="o"/>
      <w:lvlJc w:val="left"/>
      <w:pPr>
        <w:ind w:left="1776" w:hanging="360"/>
      </w:pPr>
      <w:rPr>
        <w:rFonts w:ascii="Courier New" w:hAnsi="Courier New" w:cs="Courier New" w:hint="default"/>
      </w:rPr>
    </w:lvl>
    <w:lvl w:ilvl="1" w:tplc="080C0003" w:tentative="1">
      <w:start w:val="1"/>
      <w:numFmt w:val="bullet"/>
      <w:lvlText w:val="o"/>
      <w:lvlJc w:val="left"/>
      <w:pPr>
        <w:ind w:left="2496" w:hanging="360"/>
      </w:pPr>
      <w:rPr>
        <w:rFonts w:ascii="Courier New" w:hAnsi="Courier New" w:cs="Courier New" w:hint="default"/>
      </w:rPr>
    </w:lvl>
    <w:lvl w:ilvl="2" w:tplc="080C0005" w:tentative="1">
      <w:start w:val="1"/>
      <w:numFmt w:val="bullet"/>
      <w:lvlText w:val=""/>
      <w:lvlJc w:val="left"/>
      <w:pPr>
        <w:ind w:left="3216" w:hanging="360"/>
      </w:pPr>
      <w:rPr>
        <w:rFonts w:ascii="Wingdings" w:hAnsi="Wingdings" w:hint="default"/>
      </w:rPr>
    </w:lvl>
    <w:lvl w:ilvl="3" w:tplc="080C0001" w:tentative="1">
      <w:start w:val="1"/>
      <w:numFmt w:val="bullet"/>
      <w:lvlText w:val=""/>
      <w:lvlJc w:val="left"/>
      <w:pPr>
        <w:ind w:left="3936" w:hanging="360"/>
      </w:pPr>
      <w:rPr>
        <w:rFonts w:ascii="Symbol" w:hAnsi="Symbol" w:hint="default"/>
      </w:rPr>
    </w:lvl>
    <w:lvl w:ilvl="4" w:tplc="080C0003" w:tentative="1">
      <w:start w:val="1"/>
      <w:numFmt w:val="bullet"/>
      <w:lvlText w:val="o"/>
      <w:lvlJc w:val="left"/>
      <w:pPr>
        <w:ind w:left="4656" w:hanging="360"/>
      </w:pPr>
      <w:rPr>
        <w:rFonts w:ascii="Courier New" w:hAnsi="Courier New" w:cs="Courier New" w:hint="default"/>
      </w:rPr>
    </w:lvl>
    <w:lvl w:ilvl="5" w:tplc="080C0005" w:tentative="1">
      <w:start w:val="1"/>
      <w:numFmt w:val="bullet"/>
      <w:lvlText w:val=""/>
      <w:lvlJc w:val="left"/>
      <w:pPr>
        <w:ind w:left="5376" w:hanging="360"/>
      </w:pPr>
      <w:rPr>
        <w:rFonts w:ascii="Wingdings" w:hAnsi="Wingdings" w:hint="default"/>
      </w:rPr>
    </w:lvl>
    <w:lvl w:ilvl="6" w:tplc="080C0001" w:tentative="1">
      <w:start w:val="1"/>
      <w:numFmt w:val="bullet"/>
      <w:lvlText w:val=""/>
      <w:lvlJc w:val="left"/>
      <w:pPr>
        <w:ind w:left="6096" w:hanging="360"/>
      </w:pPr>
      <w:rPr>
        <w:rFonts w:ascii="Symbol" w:hAnsi="Symbol" w:hint="default"/>
      </w:rPr>
    </w:lvl>
    <w:lvl w:ilvl="7" w:tplc="080C0003" w:tentative="1">
      <w:start w:val="1"/>
      <w:numFmt w:val="bullet"/>
      <w:lvlText w:val="o"/>
      <w:lvlJc w:val="left"/>
      <w:pPr>
        <w:ind w:left="6816" w:hanging="360"/>
      </w:pPr>
      <w:rPr>
        <w:rFonts w:ascii="Courier New" w:hAnsi="Courier New" w:cs="Courier New" w:hint="default"/>
      </w:rPr>
    </w:lvl>
    <w:lvl w:ilvl="8" w:tplc="080C0005" w:tentative="1">
      <w:start w:val="1"/>
      <w:numFmt w:val="bullet"/>
      <w:lvlText w:val=""/>
      <w:lvlJc w:val="left"/>
      <w:pPr>
        <w:ind w:left="7536" w:hanging="360"/>
      </w:pPr>
      <w:rPr>
        <w:rFonts w:ascii="Wingdings" w:hAnsi="Wingdings" w:hint="default"/>
      </w:rPr>
    </w:lvl>
  </w:abstractNum>
  <w:abstractNum w:abstractNumId="10">
    <w:nsid w:val="6FA14528"/>
    <w:multiLevelType w:val="hybridMultilevel"/>
    <w:tmpl w:val="A232EF34"/>
    <w:lvl w:ilvl="0" w:tplc="080C0001">
      <w:start w:val="1"/>
      <w:numFmt w:val="bullet"/>
      <w:lvlText w:val=""/>
      <w:lvlJc w:val="left"/>
      <w:pPr>
        <w:ind w:left="1428" w:hanging="360"/>
      </w:pPr>
      <w:rPr>
        <w:rFonts w:ascii="Symbol" w:hAnsi="Symbol" w:hint="default"/>
      </w:rPr>
    </w:lvl>
    <w:lvl w:ilvl="1" w:tplc="080C0003" w:tentative="1">
      <w:start w:val="1"/>
      <w:numFmt w:val="bullet"/>
      <w:lvlText w:val="o"/>
      <w:lvlJc w:val="left"/>
      <w:pPr>
        <w:ind w:left="2148" w:hanging="360"/>
      </w:pPr>
      <w:rPr>
        <w:rFonts w:ascii="Courier New" w:hAnsi="Courier New" w:cs="Courier New" w:hint="default"/>
      </w:rPr>
    </w:lvl>
    <w:lvl w:ilvl="2" w:tplc="080C0005" w:tentative="1">
      <w:start w:val="1"/>
      <w:numFmt w:val="bullet"/>
      <w:lvlText w:val=""/>
      <w:lvlJc w:val="left"/>
      <w:pPr>
        <w:ind w:left="2868" w:hanging="360"/>
      </w:pPr>
      <w:rPr>
        <w:rFonts w:ascii="Wingdings" w:hAnsi="Wingdings" w:hint="default"/>
      </w:rPr>
    </w:lvl>
    <w:lvl w:ilvl="3" w:tplc="080C0001" w:tentative="1">
      <w:start w:val="1"/>
      <w:numFmt w:val="bullet"/>
      <w:lvlText w:val=""/>
      <w:lvlJc w:val="left"/>
      <w:pPr>
        <w:ind w:left="3588" w:hanging="360"/>
      </w:pPr>
      <w:rPr>
        <w:rFonts w:ascii="Symbol" w:hAnsi="Symbol" w:hint="default"/>
      </w:rPr>
    </w:lvl>
    <w:lvl w:ilvl="4" w:tplc="080C0003" w:tentative="1">
      <w:start w:val="1"/>
      <w:numFmt w:val="bullet"/>
      <w:lvlText w:val="o"/>
      <w:lvlJc w:val="left"/>
      <w:pPr>
        <w:ind w:left="4308" w:hanging="360"/>
      </w:pPr>
      <w:rPr>
        <w:rFonts w:ascii="Courier New" w:hAnsi="Courier New" w:cs="Courier New" w:hint="default"/>
      </w:rPr>
    </w:lvl>
    <w:lvl w:ilvl="5" w:tplc="080C0005" w:tentative="1">
      <w:start w:val="1"/>
      <w:numFmt w:val="bullet"/>
      <w:lvlText w:val=""/>
      <w:lvlJc w:val="left"/>
      <w:pPr>
        <w:ind w:left="5028" w:hanging="360"/>
      </w:pPr>
      <w:rPr>
        <w:rFonts w:ascii="Wingdings" w:hAnsi="Wingdings" w:hint="default"/>
      </w:rPr>
    </w:lvl>
    <w:lvl w:ilvl="6" w:tplc="080C0001" w:tentative="1">
      <w:start w:val="1"/>
      <w:numFmt w:val="bullet"/>
      <w:lvlText w:val=""/>
      <w:lvlJc w:val="left"/>
      <w:pPr>
        <w:ind w:left="5748" w:hanging="360"/>
      </w:pPr>
      <w:rPr>
        <w:rFonts w:ascii="Symbol" w:hAnsi="Symbol" w:hint="default"/>
      </w:rPr>
    </w:lvl>
    <w:lvl w:ilvl="7" w:tplc="080C0003" w:tentative="1">
      <w:start w:val="1"/>
      <w:numFmt w:val="bullet"/>
      <w:lvlText w:val="o"/>
      <w:lvlJc w:val="left"/>
      <w:pPr>
        <w:ind w:left="6468" w:hanging="360"/>
      </w:pPr>
      <w:rPr>
        <w:rFonts w:ascii="Courier New" w:hAnsi="Courier New" w:cs="Courier New" w:hint="default"/>
      </w:rPr>
    </w:lvl>
    <w:lvl w:ilvl="8" w:tplc="080C0005" w:tentative="1">
      <w:start w:val="1"/>
      <w:numFmt w:val="bullet"/>
      <w:lvlText w:val=""/>
      <w:lvlJc w:val="left"/>
      <w:pPr>
        <w:ind w:left="7188" w:hanging="360"/>
      </w:pPr>
      <w:rPr>
        <w:rFonts w:ascii="Wingdings" w:hAnsi="Wingdings" w:hint="default"/>
      </w:rPr>
    </w:lvl>
  </w:abstractNum>
  <w:abstractNum w:abstractNumId="11">
    <w:nsid w:val="782F6899"/>
    <w:multiLevelType w:val="hybridMultilevel"/>
    <w:tmpl w:val="76668654"/>
    <w:lvl w:ilvl="0" w:tplc="23EEEC80">
      <w:numFmt w:val="bullet"/>
      <w:lvlText w:val="-"/>
      <w:lvlJc w:val="left"/>
      <w:pPr>
        <w:ind w:left="1080" w:hanging="360"/>
      </w:pPr>
      <w:rPr>
        <w:rFonts w:ascii="Calibri" w:eastAsiaTheme="minorHAnsi" w:hAnsi="Calibri" w:cstheme="minorBidi"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num w:numId="1">
    <w:abstractNumId w:val="8"/>
  </w:num>
  <w:num w:numId="2">
    <w:abstractNumId w:val="10"/>
  </w:num>
  <w:num w:numId="3">
    <w:abstractNumId w:val="6"/>
  </w:num>
  <w:num w:numId="4">
    <w:abstractNumId w:val="4"/>
  </w:num>
  <w:num w:numId="5">
    <w:abstractNumId w:val="7"/>
  </w:num>
  <w:num w:numId="6">
    <w:abstractNumId w:val="5"/>
  </w:num>
  <w:num w:numId="7">
    <w:abstractNumId w:val="9"/>
  </w:num>
  <w:num w:numId="8">
    <w:abstractNumId w:val="3"/>
  </w:num>
  <w:num w:numId="9">
    <w:abstractNumId w:val="0"/>
  </w:num>
  <w:num w:numId="10">
    <w:abstractNumId w:val="1"/>
  </w:num>
  <w:num w:numId="11">
    <w:abstractNumId w:val="2"/>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590E"/>
    <w:rsid w:val="00011C5E"/>
    <w:rsid w:val="000450C4"/>
    <w:rsid w:val="0009054A"/>
    <w:rsid w:val="00107B64"/>
    <w:rsid w:val="00125C18"/>
    <w:rsid w:val="00174771"/>
    <w:rsid w:val="00187796"/>
    <w:rsid w:val="00197D6C"/>
    <w:rsid w:val="001B193C"/>
    <w:rsid w:val="002767BC"/>
    <w:rsid w:val="002A2A0E"/>
    <w:rsid w:val="002B1B7F"/>
    <w:rsid w:val="002E79DB"/>
    <w:rsid w:val="003363F3"/>
    <w:rsid w:val="003657B6"/>
    <w:rsid w:val="003964AB"/>
    <w:rsid w:val="003E2513"/>
    <w:rsid w:val="00427CEF"/>
    <w:rsid w:val="0044524F"/>
    <w:rsid w:val="0045049E"/>
    <w:rsid w:val="004511E6"/>
    <w:rsid w:val="005173B9"/>
    <w:rsid w:val="00534867"/>
    <w:rsid w:val="00550380"/>
    <w:rsid w:val="005649C3"/>
    <w:rsid w:val="005A0BC3"/>
    <w:rsid w:val="005A33CF"/>
    <w:rsid w:val="006047BD"/>
    <w:rsid w:val="00625588"/>
    <w:rsid w:val="0062646F"/>
    <w:rsid w:val="00653625"/>
    <w:rsid w:val="0065647B"/>
    <w:rsid w:val="00684863"/>
    <w:rsid w:val="006D0D28"/>
    <w:rsid w:val="00703914"/>
    <w:rsid w:val="00717C57"/>
    <w:rsid w:val="00750D43"/>
    <w:rsid w:val="00781BAC"/>
    <w:rsid w:val="00817C21"/>
    <w:rsid w:val="00843EBB"/>
    <w:rsid w:val="00850FD0"/>
    <w:rsid w:val="008A0607"/>
    <w:rsid w:val="008E4C55"/>
    <w:rsid w:val="008F3746"/>
    <w:rsid w:val="00900C99"/>
    <w:rsid w:val="00916F64"/>
    <w:rsid w:val="00951210"/>
    <w:rsid w:val="00963872"/>
    <w:rsid w:val="0098583F"/>
    <w:rsid w:val="00A23910"/>
    <w:rsid w:val="00A25D33"/>
    <w:rsid w:val="00A27F21"/>
    <w:rsid w:val="00A44171"/>
    <w:rsid w:val="00AB5AD7"/>
    <w:rsid w:val="00AC5406"/>
    <w:rsid w:val="00AD3F95"/>
    <w:rsid w:val="00AD4DBA"/>
    <w:rsid w:val="00B21B18"/>
    <w:rsid w:val="00B52E9C"/>
    <w:rsid w:val="00B54699"/>
    <w:rsid w:val="00B63EBB"/>
    <w:rsid w:val="00BA1ECE"/>
    <w:rsid w:val="00BA6B96"/>
    <w:rsid w:val="00C36BE0"/>
    <w:rsid w:val="00C41649"/>
    <w:rsid w:val="00C50DC6"/>
    <w:rsid w:val="00CA05D4"/>
    <w:rsid w:val="00CD0E18"/>
    <w:rsid w:val="00CF6AD9"/>
    <w:rsid w:val="00D2590E"/>
    <w:rsid w:val="00D334CE"/>
    <w:rsid w:val="00DA2C20"/>
    <w:rsid w:val="00DC4943"/>
    <w:rsid w:val="00E26C83"/>
    <w:rsid w:val="00E3755C"/>
    <w:rsid w:val="00E9562C"/>
    <w:rsid w:val="00EA0A01"/>
    <w:rsid w:val="00EC3F9F"/>
    <w:rsid w:val="00EE3A67"/>
    <w:rsid w:val="00F12EE6"/>
    <w:rsid w:val="00F54898"/>
    <w:rsid w:val="00F60A90"/>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chartTrackingRefBased/>
  <w15:docId w15:val="{CDD78A90-2D8B-40EA-A5CB-F235D0E5B9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itre4">
    <w:name w:val="heading 4"/>
    <w:basedOn w:val="Normal"/>
    <w:next w:val="Normal"/>
    <w:link w:val="Titre4Car"/>
    <w:qFormat/>
    <w:rsid w:val="0062646F"/>
    <w:pPr>
      <w:keepNext/>
      <w:keepLines/>
      <w:overflowPunct w:val="0"/>
      <w:autoSpaceDE w:val="0"/>
      <w:autoSpaceDN w:val="0"/>
      <w:adjustRightInd w:val="0"/>
      <w:spacing w:before="300" w:after="60" w:line="240" w:lineRule="auto"/>
      <w:jc w:val="both"/>
      <w:textAlignment w:val="baseline"/>
      <w:outlineLvl w:val="3"/>
    </w:pPr>
    <w:rPr>
      <w:rFonts w:ascii="Arial" w:eastAsia="Times New Roman" w:hAnsi="Arial" w:cs="Times New Roman"/>
      <w:b/>
      <w:smallCaps/>
      <w:color w:val="000000"/>
      <w:sz w:val="28"/>
      <w:szCs w:val="20"/>
      <w:lang w:val="fr-FR"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D2590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link w:val="ParagraphedelisteCar"/>
    <w:uiPriority w:val="34"/>
    <w:qFormat/>
    <w:rsid w:val="004511E6"/>
    <w:pPr>
      <w:ind w:left="720"/>
      <w:contextualSpacing/>
    </w:pPr>
  </w:style>
  <w:style w:type="paragraph" w:styleId="Textedebulles">
    <w:name w:val="Balloon Text"/>
    <w:basedOn w:val="Normal"/>
    <w:link w:val="TextedebullesCar"/>
    <w:uiPriority w:val="99"/>
    <w:semiHidden/>
    <w:unhideWhenUsed/>
    <w:rsid w:val="008E4C55"/>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8E4C55"/>
    <w:rPr>
      <w:rFonts w:ascii="Segoe UI" w:hAnsi="Segoe UI" w:cs="Segoe UI"/>
      <w:sz w:val="18"/>
      <w:szCs w:val="18"/>
    </w:rPr>
  </w:style>
  <w:style w:type="character" w:styleId="Lienhypertexte">
    <w:name w:val="Hyperlink"/>
    <w:basedOn w:val="Policepardfaut"/>
    <w:uiPriority w:val="99"/>
    <w:semiHidden/>
    <w:unhideWhenUsed/>
    <w:rsid w:val="00B54699"/>
    <w:rPr>
      <w:color w:val="0000FF"/>
      <w:u w:val="single"/>
    </w:rPr>
  </w:style>
  <w:style w:type="paragraph" w:styleId="Notedebasdepage">
    <w:name w:val="footnote text"/>
    <w:basedOn w:val="Normal"/>
    <w:link w:val="NotedebasdepageCar"/>
    <w:uiPriority w:val="99"/>
    <w:semiHidden/>
    <w:unhideWhenUsed/>
    <w:rsid w:val="00B54699"/>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B54699"/>
    <w:rPr>
      <w:sz w:val="20"/>
      <w:szCs w:val="20"/>
    </w:rPr>
  </w:style>
  <w:style w:type="character" w:styleId="Appelnotedebasdep">
    <w:name w:val="footnote reference"/>
    <w:basedOn w:val="Policepardfaut"/>
    <w:uiPriority w:val="99"/>
    <w:semiHidden/>
    <w:unhideWhenUsed/>
    <w:rsid w:val="00B54699"/>
    <w:rPr>
      <w:vertAlign w:val="superscript"/>
    </w:rPr>
  </w:style>
  <w:style w:type="paragraph" w:customStyle="1" w:styleId="Default">
    <w:name w:val="Default"/>
    <w:rsid w:val="00107B64"/>
    <w:pPr>
      <w:autoSpaceDE w:val="0"/>
      <w:autoSpaceDN w:val="0"/>
      <w:adjustRightInd w:val="0"/>
      <w:spacing w:after="0" w:line="240" w:lineRule="auto"/>
    </w:pPr>
    <w:rPr>
      <w:rFonts w:ascii="Arial" w:hAnsi="Arial" w:cs="Arial"/>
      <w:color w:val="000000"/>
      <w:sz w:val="24"/>
      <w:szCs w:val="24"/>
    </w:rPr>
  </w:style>
  <w:style w:type="character" w:customStyle="1" w:styleId="Titre4Car">
    <w:name w:val="Titre 4 Car"/>
    <w:basedOn w:val="Policepardfaut"/>
    <w:link w:val="Titre4"/>
    <w:rsid w:val="0062646F"/>
    <w:rPr>
      <w:rFonts w:ascii="Arial" w:eastAsia="Times New Roman" w:hAnsi="Arial" w:cs="Times New Roman"/>
      <w:b/>
      <w:smallCaps/>
      <w:color w:val="000000"/>
      <w:sz w:val="28"/>
      <w:szCs w:val="20"/>
      <w:lang w:val="fr-FR" w:eastAsia="fr-FR"/>
    </w:rPr>
  </w:style>
  <w:style w:type="paragraph" w:styleId="Pieddepage">
    <w:name w:val="footer"/>
    <w:basedOn w:val="Normal"/>
    <w:link w:val="PieddepageCar"/>
    <w:semiHidden/>
    <w:rsid w:val="0062646F"/>
    <w:pPr>
      <w:tabs>
        <w:tab w:val="center" w:pos="4536"/>
        <w:tab w:val="right" w:pos="9072"/>
      </w:tabs>
      <w:overflowPunct w:val="0"/>
      <w:autoSpaceDE w:val="0"/>
      <w:autoSpaceDN w:val="0"/>
      <w:adjustRightInd w:val="0"/>
      <w:spacing w:before="60" w:after="60" w:line="240" w:lineRule="auto"/>
      <w:jc w:val="both"/>
      <w:textAlignment w:val="baseline"/>
    </w:pPr>
    <w:rPr>
      <w:rFonts w:ascii="Arial" w:eastAsia="Times New Roman" w:hAnsi="Arial" w:cs="Times New Roman"/>
      <w:i/>
      <w:color w:val="000000"/>
      <w:sz w:val="16"/>
      <w:szCs w:val="20"/>
      <w:lang w:val="fr-FR" w:eastAsia="fr-FR"/>
    </w:rPr>
  </w:style>
  <w:style w:type="character" w:customStyle="1" w:styleId="PieddepageCar">
    <w:name w:val="Pied de page Car"/>
    <w:basedOn w:val="Policepardfaut"/>
    <w:link w:val="Pieddepage"/>
    <w:semiHidden/>
    <w:rsid w:val="0062646F"/>
    <w:rPr>
      <w:rFonts w:ascii="Arial" w:eastAsia="Times New Roman" w:hAnsi="Arial" w:cs="Times New Roman"/>
      <w:i/>
      <w:color w:val="000000"/>
      <w:sz w:val="16"/>
      <w:szCs w:val="20"/>
      <w:lang w:val="fr-FR" w:eastAsia="fr-FR"/>
    </w:rPr>
  </w:style>
  <w:style w:type="paragraph" w:customStyle="1" w:styleId="Normal-Texte">
    <w:name w:val="Normal-Texte"/>
    <w:basedOn w:val="Normal"/>
    <w:rsid w:val="0062646F"/>
    <w:pPr>
      <w:spacing w:before="60" w:after="0" w:line="240" w:lineRule="auto"/>
      <w:jc w:val="both"/>
    </w:pPr>
    <w:rPr>
      <w:rFonts w:ascii="Arial" w:eastAsia="Times New Roman" w:hAnsi="Arial" w:cs="Times New Roman"/>
      <w:sz w:val="20"/>
      <w:szCs w:val="20"/>
      <w:lang w:val="fr-FR" w:eastAsia="fr-FR"/>
    </w:rPr>
  </w:style>
  <w:style w:type="paragraph" w:styleId="Listepuces">
    <w:name w:val="List Bullet"/>
    <w:basedOn w:val="Corpsdetexte"/>
    <w:semiHidden/>
    <w:rsid w:val="00AB5AD7"/>
    <w:pPr>
      <w:numPr>
        <w:numId w:val="10"/>
      </w:numPr>
    </w:pPr>
  </w:style>
  <w:style w:type="paragraph" w:styleId="Corpsdetexte">
    <w:name w:val="Body Text"/>
    <w:basedOn w:val="Normal"/>
    <w:link w:val="CorpsdetexteCar"/>
    <w:semiHidden/>
    <w:rsid w:val="00AB5AD7"/>
    <w:pPr>
      <w:overflowPunct w:val="0"/>
      <w:autoSpaceDE w:val="0"/>
      <w:autoSpaceDN w:val="0"/>
      <w:adjustRightInd w:val="0"/>
      <w:spacing w:before="40" w:after="40" w:line="240" w:lineRule="auto"/>
      <w:textAlignment w:val="baseline"/>
    </w:pPr>
    <w:rPr>
      <w:rFonts w:ascii="Arial" w:eastAsia="Times New Roman" w:hAnsi="Arial" w:cs="Times New Roman"/>
      <w:sz w:val="18"/>
      <w:szCs w:val="20"/>
      <w:lang w:eastAsia="fr-FR"/>
    </w:rPr>
  </w:style>
  <w:style w:type="character" w:customStyle="1" w:styleId="CorpsdetexteCar">
    <w:name w:val="Corps de texte Car"/>
    <w:basedOn w:val="Policepardfaut"/>
    <w:link w:val="Corpsdetexte"/>
    <w:semiHidden/>
    <w:rsid w:val="00AB5AD7"/>
    <w:rPr>
      <w:rFonts w:ascii="Arial" w:eastAsia="Times New Roman" w:hAnsi="Arial" w:cs="Times New Roman"/>
      <w:sz w:val="18"/>
      <w:szCs w:val="20"/>
      <w:lang w:eastAsia="fr-FR"/>
    </w:rPr>
  </w:style>
  <w:style w:type="paragraph" w:styleId="Corpsdetexte2">
    <w:name w:val="Body Text 2"/>
    <w:basedOn w:val="Corpsdetexte"/>
    <w:link w:val="Corpsdetexte2Car"/>
    <w:semiHidden/>
    <w:rsid w:val="00AB5AD7"/>
    <w:rPr>
      <w:b/>
      <w:bCs/>
      <w:sz w:val="20"/>
    </w:rPr>
  </w:style>
  <w:style w:type="character" w:customStyle="1" w:styleId="Corpsdetexte2Car">
    <w:name w:val="Corps de texte 2 Car"/>
    <w:basedOn w:val="Policepardfaut"/>
    <w:link w:val="Corpsdetexte2"/>
    <w:semiHidden/>
    <w:rsid w:val="00AB5AD7"/>
    <w:rPr>
      <w:rFonts w:ascii="Arial" w:eastAsia="Times New Roman" w:hAnsi="Arial" w:cs="Times New Roman"/>
      <w:b/>
      <w:bCs/>
      <w:sz w:val="20"/>
      <w:szCs w:val="20"/>
      <w:lang w:eastAsia="fr-FR"/>
    </w:rPr>
  </w:style>
  <w:style w:type="paragraph" w:styleId="Listepuces2">
    <w:name w:val="List Bullet 2"/>
    <w:basedOn w:val="Corpsdetexte"/>
    <w:semiHidden/>
    <w:rsid w:val="00AB5AD7"/>
    <w:pPr>
      <w:numPr>
        <w:numId w:val="9"/>
      </w:numPr>
      <w:tabs>
        <w:tab w:val="clear" w:pos="700"/>
      </w:tabs>
    </w:pPr>
  </w:style>
  <w:style w:type="paragraph" w:customStyle="1" w:styleId="xxmsonormal">
    <w:name w:val="x_x_msonormal"/>
    <w:basedOn w:val="Normal"/>
    <w:rsid w:val="001B193C"/>
    <w:pPr>
      <w:spacing w:before="100" w:beforeAutospacing="1" w:after="100" w:afterAutospacing="1" w:line="240" w:lineRule="auto"/>
    </w:pPr>
    <w:rPr>
      <w:rFonts w:ascii="Times New Roman" w:eastAsia="Times New Roman" w:hAnsi="Times New Roman" w:cs="Times New Roman"/>
      <w:sz w:val="24"/>
      <w:szCs w:val="24"/>
      <w:lang w:eastAsia="fr-BE"/>
    </w:rPr>
  </w:style>
  <w:style w:type="character" w:customStyle="1" w:styleId="ParagraphedelisteCar">
    <w:name w:val="Paragraphe de liste Car"/>
    <w:link w:val="Paragraphedeliste"/>
    <w:uiPriority w:val="34"/>
    <w:rsid w:val="003363F3"/>
  </w:style>
  <w:style w:type="character" w:styleId="Lienhypertextesuivivisit">
    <w:name w:val="FollowedHyperlink"/>
    <w:basedOn w:val="Policepardfaut"/>
    <w:uiPriority w:val="99"/>
    <w:semiHidden/>
    <w:unhideWhenUsed/>
    <w:rsid w:val="0068486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1113314">
      <w:bodyDiv w:val="1"/>
      <w:marLeft w:val="0"/>
      <w:marRight w:val="0"/>
      <w:marTop w:val="0"/>
      <w:marBottom w:val="0"/>
      <w:divBdr>
        <w:top w:val="none" w:sz="0" w:space="0" w:color="auto"/>
        <w:left w:val="none" w:sz="0" w:space="0" w:color="auto"/>
        <w:bottom w:val="none" w:sz="0" w:space="0" w:color="auto"/>
        <w:right w:val="none" w:sz="0" w:space="0" w:color="auto"/>
      </w:divBdr>
    </w:div>
    <w:div w:id="98751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amsar.org/sites/default/files/documents/library/sitelist.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7DC81A-1A98-4FEC-9EBC-9BDA8BE384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71D4FC3</Template>
  <TotalTime>630</TotalTime>
  <Pages>6</Pages>
  <Words>1941</Words>
  <Characters>10679</Characters>
  <Application>Microsoft Office Word</Application>
  <DocSecurity>0</DocSecurity>
  <Lines>88</Lines>
  <Paragraphs>25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12595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PAQUET Jerôme</dc:creator>
  <cp:keywords/>
  <dc:description/>
  <cp:lastModifiedBy>Legros Noreen</cp:lastModifiedBy>
  <cp:revision>52</cp:revision>
  <cp:lastPrinted>2021-12-07T09:51:00Z</cp:lastPrinted>
  <dcterms:created xsi:type="dcterms:W3CDTF">2020-12-04T14:56:00Z</dcterms:created>
  <dcterms:modified xsi:type="dcterms:W3CDTF">2021-12-14T08:06:00Z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7a477d1-147d-4e34-b5e3-7b26d2f44870_Enabled">
    <vt:lpwstr>True</vt:lpwstr>
  </property>
  <property fmtid="{D5CDD505-2E9C-101B-9397-08002B2CF9AE}" pid="3" name="MSIP_Label_97a477d1-147d-4e34-b5e3-7b26d2f44870_SiteId">
    <vt:lpwstr>1f816a84-7aa6-4a56-b22a-7b3452fa8681</vt:lpwstr>
  </property>
  <property fmtid="{D5CDD505-2E9C-101B-9397-08002B2CF9AE}" pid="4" name="MSIP_Label_97a477d1-147d-4e34-b5e3-7b26d2f44870_Owner">
    <vt:lpwstr>jerome.paquet@spw.wallonie.be</vt:lpwstr>
  </property>
  <property fmtid="{D5CDD505-2E9C-101B-9397-08002B2CF9AE}" pid="5" name="MSIP_Label_97a477d1-147d-4e34-b5e3-7b26d2f44870_SetDate">
    <vt:lpwstr>2020-11-26T16:08:56.8759568Z</vt:lpwstr>
  </property>
  <property fmtid="{D5CDD505-2E9C-101B-9397-08002B2CF9AE}" pid="6" name="MSIP_Label_97a477d1-147d-4e34-b5e3-7b26d2f44870_Name">
    <vt:lpwstr>Restreint</vt:lpwstr>
  </property>
  <property fmtid="{D5CDD505-2E9C-101B-9397-08002B2CF9AE}" pid="7" name="MSIP_Label_97a477d1-147d-4e34-b5e3-7b26d2f44870_Application">
    <vt:lpwstr>Microsoft Azure Information Protection</vt:lpwstr>
  </property>
  <property fmtid="{D5CDD505-2E9C-101B-9397-08002B2CF9AE}" pid="8" name="MSIP_Label_97a477d1-147d-4e34-b5e3-7b26d2f44870_ActionId">
    <vt:lpwstr>dbf272f2-98a4-423f-8b72-126a45faa343</vt:lpwstr>
  </property>
  <property fmtid="{D5CDD505-2E9C-101B-9397-08002B2CF9AE}" pid="9" name="MSIP_Label_97a477d1-147d-4e34-b5e3-7b26d2f44870_Extended_MSFT_Method">
    <vt:lpwstr>Automatic</vt:lpwstr>
  </property>
  <property fmtid="{D5CDD505-2E9C-101B-9397-08002B2CF9AE}" pid="10" name="Sensitivity">
    <vt:lpwstr>Restreint</vt:lpwstr>
  </property>
</Properties>
</file>