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F0E2" w14:textId="77777777" w:rsidR="00210F14" w:rsidRDefault="00210F14" w:rsidP="00210F14">
      <w:pPr>
        <w:spacing w:line="259" w:lineRule="auto"/>
        <w:ind w:right="3"/>
        <w:jc w:val="center"/>
      </w:pPr>
      <w:r>
        <w:rPr>
          <w:b/>
          <w:sz w:val="28"/>
        </w:rPr>
        <w:t xml:space="preserve">  REGLEMENT DE LA BROCANTE COMMUNALE DE L'ASCENSION </w:t>
      </w:r>
    </w:p>
    <w:p w14:paraId="32B0BD88" w14:textId="77777777" w:rsidR="00210F14" w:rsidRDefault="00210F14" w:rsidP="00210F14">
      <w:pPr>
        <w:spacing w:line="259" w:lineRule="auto"/>
      </w:pPr>
      <w:r>
        <w:t xml:space="preserve"> </w:t>
      </w:r>
    </w:p>
    <w:p w14:paraId="4163E36C" w14:textId="77777777" w:rsidR="00210F14" w:rsidRPr="00250FAC" w:rsidRDefault="00210F14" w:rsidP="00210F14">
      <w:pPr>
        <w:pStyle w:val="Titre1"/>
        <w:ind w:left="-5"/>
        <w:rPr>
          <w:sz w:val="32"/>
          <w:szCs w:val="32"/>
        </w:rPr>
      </w:pPr>
      <w:r w:rsidRPr="00250FAC">
        <w:rPr>
          <w:sz w:val="32"/>
          <w:szCs w:val="32"/>
        </w:rPr>
        <w:t>Article 1</w:t>
      </w:r>
      <w:r w:rsidRPr="00250FAC">
        <w:rPr>
          <w:sz w:val="32"/>
          <w:szCs w:val="32"/>
          <w:u w:color="000000"/>
        </w:rPr>
        <w:t xml:space="preserve">  </w:t>
      </w:r>
    </w:p>
    <w:p w14:paraId="28E6510A" w14:textId="77777777" w:rsidR="00C57C2D" w:rsidRDefault="00210F14" w:rsidP="00210F14">
      <w:pPr>
        <w:spacing w:after="7" w:line="239" w:lineRule="auto"/>
        <w:rPr>
          <w:b/>
        </w:rPr>
      </w:pPr>
      <w:r w:rsidRPr="00C57C2D">
        <w:rPr>
          <w:bCs/>
        </w:rPr>
        <w:t xml:space="preserve">L'occupation des emplacements réservés devra obligatoirement avoir lieu </w:t>
      </w:r>
      <w:r w:rsidR="00C57C2D" w:rsidRPr="00C57C2D">
        <w:rPr>
          <w:bCs/>
        </w:rPr>
        <w:t xml:space="preserve">à l’horaire prévu par le règlement (voir ci-dessous), </w:t>
      </w:r>
      <w:r w:rsidRPr="00C57C2D">
        <w:rPr>
          <w:bCs/>
        </w:rPr>
        <w:t>à défaut, ils seront redistribués à d'autres participants.</w:t>
      </w:r>
      <w:r>
        <w:rPr>
          <w:b/>
        </w:rPr>
        <w:t xml:space="preserve">  </w:t>
      </w:r>
    </w:p>
    <w:p w14:paraId="301877FC" w14:textId="49649BF4" w:rsidR="00210F14" w:rsidRDefault="00C57C2D" w:rsidP="00210F14">
      <w:pPr>
        <w:spacing w:after="7" w:line="239" w:lineRule="auto"/>
      </w:pPr>
      <w:r w:rsidRPr="00F33B57">
        <w:rPr>
          <w:highlight w:val="yellow"/>
        </w:rPr>
        <w:t>L’accès au site sera autorisé à partir de 6h pour permettre l’installation, laquelle devra être donc finalisée pour 8h.</w:t>
      </w:r>
    </w:p>
    <w:p w14:paraId="35BFB88B" w14:textId="77777777" w:rsidR="00210F14" w:rsidRDefault="00210F14" w:rsidP="00210F14">
      <w:pPr>
        <w:ind w:left="-5"/>
      </w:pPr>
      <w:r>
        <w:t xml:space="preserve">Les demandeurs qui n'occupent pas les emplacements réservés, sans préavis donné aux organisateurs, s'exposent à ne plus bénéficier des mêmes emplacements lors de la prochaine brocante.  </w:t>
      </w:r>
    </w:p>
    <w:p w14:paraId="7AC24CA0" w14:textId="77777777" w:rsidR="00C57C2D" w:rsidRDefault="00210F14" w:rsidP="00210F14">
      <w:pPr>
        <w:ind w:left="-5"/>
      </w:pPr>
      <w:r>
        <w:t xml:space="preserve">Les demandeurs ayant payé leur réservation dans les délais fixés sont prioritaires pour conserver les mêmes emplacements l'année suivante. </w:t>
      </w:r>
    </w:p>
    <w:p w14:paraId="1717769A" w14:textId="5ADA10C5" w:rsidR="00210F14" w:rsidRDefault="00210F14" w:rsidP="00210F14">
      <w:pPr>
        <w:ind w:left="-5"/>
      </w:pPr>
      <w:r w:rsidRPr="00C57C2D">
        <w:t>En cas d'absence, les emplacements payés à l'avance ne seront pas remboursés.</w:t>
      </w:r>
      <w:r>
        <w:t xml:space="preserve">  </w:t>
      </w:r>
    </w:p>
    <w:p w14:paraId="7A2DBE12" w14:textId="33BFA999" w:rsidR="00210F14" w:rsidRDefault="00210F14" w:rsidP="00210F14">
      <w:pPr>
        <w:ind w:left="-5"/>
      </w:pPr>
      <w:r>
        <w:t xml:space="preserve">Toute réclamation sera adressée par lettre recommandée adressée au Collège communal de SAINT-GEORGES. </w:t>
      </w:r>
    </w:p>
    <w:p w14:paraId="5952DF02" w14:textId="1177C81C" w:rsidR="00210F14" w:rsidRPr="00210F14" w:rsidRDefault="00210F14" w:rsidP="00210F14">
      <w:pPr>
        <w:spacing w:after="4" w:line="249" w:lineRule="auto"/>
        <w:ind w:left="10" w:hanging="10"/>
      </w:pPr>
      <w:r w:rsidRPr="00F33B57">
        <w:rPr>
          <w:highlight w:val="yellow"/>
        </w:rPr>
        <w:t>À partir de 8h et jusqu’à 18h inclus, toute circulation ou présence de véhicule sera strictement interdite. L’évacuation complète du site devra intervenir au plus tard à 20h. </w:t>
      </w:r>
    </w:p>
    <w:p w14:paraId="47E1A75C" w14:textId="303B806F" w:rsidR="00210F14" w:rsidRDefault="00210F14" w:rsidP="00250FAC">
      <w:pPr>
        <w:spacing w:line="259" w:lineRule="auto"/>
      </w:pPr>
      <w:r>
        <w:t xml:space="preserve"> </w:t>
      </w:r>
    </w:p>
    <w:p w14:paraId="36DE40C6" w14:textId="77777777" w:rsidR="00210F14" w:rsidRPr="00250FAC" w:rsidRDefault="00210F14" w:rsidP="00250FAC">
      <w:pPr>
        <w:pStyle w:val="Titre1"/>
        <w:spacing w:before="0" w:after="0"/>
        <w:ind w:left="-5"/>
        <w:rPr>
          <w:sz w:val="32"/>
          <w:szCs w:val="32"/>
        </w:rPr>
      </w:pPr>
      <w:r w:rsidRPr="00250FAC">
        <w:rPr>
          <w:sz w:val="32"/>
          <w:szCs w:val="32"/>
        </w:rPr>
        <w:t>Article 2</w:t>
      </w:r>
      <w:r w:rsidRPr="00250FAC">
        <w:rPr>
          <w:sz w:val="32"/>
          <w:szCs w:val="32"/>
          <w:u w:color="000000"/>
        </w:rPr>
        <w:t xml:space="preserve">  </w:t>
      </w:r>
    </w:p>
    <w:p w14:paraId="0767C94B" w14:textId="77777777" w:rsidR="00210F14" w:rsidRDefault="00210F14" w:rsidP="00250FAC">
      <w:pPr>
        <w:ind w:left="-5"/>
      </w:pPr>
      <w:r>
        <w:t xml:space="preserve">Les participants devront obligatoirement être en possession de la carte de réservation nominative qui mentionne le(s) numéro(s) d'emplacement désigné(s), ainsi que le type d'activité déclarée lors de la réservation.  </w:t>
      </w:r>
    </w:p>
    <w:p w14:paraId="33A20229" w14:textId="77777777" w:rsidR="00210F14" w:rsidRDefault="00210F14" w:rsidP="00210F14">
      <w:pPr>
        <w:ind w:left="-5"/>
      </w:pPr>
      <w:r>
        <w:t xml:space="preserve">Sous peine d'exclusion, il est strictement interdit de pratiquer une activité autre que celle mentionnée sur la carte de réservation. </w:t>
      </w:r>
    </w:p>
    <w:p w14:paraId="1560E46B" w14:textId="2743A7B6" w:rsidR="00210F14" w:rsidRPr="00210F14" w:rsidRDefault="00210F14" w:rsidP="00210F14">
      <w:pPr>
        <w:spacing w:after="4" w:line="249" w:lineRule="auto"/>
        <w:ind w:left="10" w:hanging="10"/>
      </w:pPr>
      <w:r w:rsidRPr="00F33B57">
        <w:rPr>
          <w:highlight w:val="yellow"/>
        </w:rPr>
        <w:t>Les inscriptions sont exclusivement réservées, durant l’intégralité du mois de février, aux habitants et aux commerçants établis sur le tracé de la brocante. À compter du 1er mars, les inscriptions seront ouvertes à l’ensemble du public, sans priorité ni restriction.</w:t>
      </w:r>
    </w:p>
    <w:p w14:paraId="6617B9FA" w14:textId="77777777" w:rsidR="00210F14" w:rsidRPr="00250FAC" w:rsidRDefault="00210F14" w:rsidP="00210F14">
      <w:pPr>
        <w:pStyle w:val="Titre1"/>
        <w:ind w:left="-5"/>
        <w:rPr>
          <w:sz w:val="32"/>
          <w:szCs w:val="32"/>
        </w:rPr>
      </w:pPr>
      <w:r w:rsidRPr="00250FAC">
        <w:rPr>
          <w:sz w:val="32"/>
          <w:szCs w:val="32"/>
        </w:rPr>
        <w:t>Article 3</w:t>
      </w:r>
      <w:r w:rsidRPr="00250FAC">
        <w:rPr>
          <w:sz w:val="32"/>
          <w:szCs w:val="32"/>
          <w:u w:color="000000"/>
        </w:rPr>
        <w:t xml:space="preserve">   </w:t>
      </w:r>
    </w:p>
    <w:p w14:paraId="374691E0" w14:textId="77777777" w:rsidR="00210F14" w:rsidRDefault="00210F14" w:rsidP="00210F14">
      <w:pPr>
        <w:ind w:left="-5"/>
      </w:pPr>
      <w:r>
        <w:t xml:space="preserve">La carte de réservation ne sera transmise au demandeur qu'après vérification du paiement de l'espace réservé. Le paiement s'effectuera uniquement à l'aide de la formule de virement transmise par l'organisateur et mentionnant le nom, le(s) numéro(s) d'emplacement et la date limite de paiement, soit dans les quinze jours à dater de l'envoi du virement. Tout paiement qui ne sera pas enregistré dans ce délai entraînera systématiquement la suppression de la réservation.  </w:t>
      </w:r>
    </w:p>
    <w:p w14:paraId="09CDAFBF" w14:textId="77777777" w:rsidR="00210F14" w:rsidRPr="00250FAC" w:rsidRDefault="00210F14" w:rsidP="00210F14">
      <w:pPr>
        <w:pStyle w:val="Titre1"/>
        <w:ind w:left="-5"/>
        <w:rPr>
          <w:sz w:val="32"/>
          <w:szCs w:val="32"/>
        </w:rPr>
      </w:pPr>
      <w:r w:rsidRPr="00250FAC">
        <w:rPr>
          <w:sz w:val="32"/>
          <w:szCs w:val="32"/>
        </w:rPr>
        <w:t>Article 4</w:t>
      </w:r>
      <w:r w:rsidRPr="00250FAC">
        <w:rPr>
          <w:sz w:val="32"/>
          <w:szCs w:val="32"/>
          <w:u w:color="000000"/>
        </w:rPr>
        <w:t xml:space="preserve">  </w:t>
      </w:r>
    </w:p>
    <w:p w14:paraId="32DBF0F4" w14:textId="69D0CA86" w:rsidR="00210F14" w:rsidRDefault="00210F14" w:rsidP="00210F14">
      <w:pPr>
        <w:ind w:left="-5"/>
      </w:pPr>
      <w:r>
        <w:t xml:space="preserve">Les professionnels seront titulaires d'une </w:t>
      </w:r>
      <w:r w:rsidRPr="00F33B57">
        <w:rPr>
          <w:highlight w:val="yellow"/>
        </w:rPr>
        <w:t>attestation confirmant l’inscription à la Banque Carrefour</w:t>
      </w:r>
      <w:r>
        <w:t xml:space="preserve"> qu'ils sont tenus de présenter à chaque demande. Un contrôle préalable sera effectué auprès du ministère des Classes Moyennes.  </w:t>
      </w:r>
    </w:p>
    <w:p w14:paraId="3AB78DD1" w14:textId="699D2B3B" w:rsidR="00210F14" w:rsidRDefault="00210F14" w:rsidP="00210F14">
      <w:pPr>
        <w:ind w:left="-5"/>
      </w:pPr>
      <w:r>
        <w:t xml:space="preserve">De même, les professionnels qui proposent des boissons alcoolisées à la vente seront en possession d'une carte de « débit ambulant » délivrée par les Accises.  </w:t>
      </w:r>
    </w:p>
    <w:p w14:paraId="38EDAADB" w14:textId="77777777" w:rsidR="00210F14" w:rsidRDefault="00210F14" w:rsidP="00210F14">
      <w:pPr>
        <w:ind w:left="-5"/>
      </w:pPr>
      <w:r>
        <w:t>Les œuvres caritatives, les associations sportives, humanitaires et pour handicapés qui proposent des boissons alcoolisées à la vente, seront en possession d'une carte de débit occasionnel délivrée par les Accises.</w:t>
      </w:r>
    </w:p>
    <w:p w14:paraId="528EA327" w14:textId="0B15F933" w:rsidR="00210F14" w:rsidRPr="00210F14" w:rsidRDefault="00210F14" w:rsidP="00210F14">
      <w:pPr>
        <w:spacing w:after="4" w:line="249" w:lineRule="auto"/>
        <w:ind w:left="10" w:hanging="10"/>
      </w:pPr>
      <w:r w:rsidRPr="00F33B57">
        <w:rPr>
          <w:highlight w:val="yellow"/>
        </w:rPr>
        <w:t>La vente de boissons est autorisée uniquement dans des gobelets réutilisables, conformément aux obligations en matière de réduction des déchets.</w:t>
      </w:r>
    </w:p>
    <w:p w14:paraId="5952BEED" w14:textId="77777777" w:rsidR="00210F14" w:rsidRDefault="00210F14" w:rsidP="00210F14">
      <w:pPr>
        <w:ind w:left="-5"/>
      </w:pPr>
      <w:r>
        <w:t xml:space="preserve">Les participants, professionnels ou non, qui proposent à la vente des denrées alimentaires, sont tenus de respecter scrupuleusement les règles d'hygiène et d'exhiber à chaque demande les autorisations nécessaires en la matière. Voir à ce sujet le règlement de sécurité, de salubrité et de Police relatif aux lieux accessibles au public, articles 109 à 112. Aucun document n'est exigé pour les brocanteurs occasionnels.  </w:t>
      </w:r>
    </w:p>
    <w:p w14:paraId="567365BC" w14:textId="77777777" w:rsidR="00210F14" w:rsidRDefault="00210F14" w:rsidP="00250FAC">
      <w:pPr>
        <w:ind w:left="-5"/>
      </w:pPr>
      <w:r>
        <w:t xml:space="preserve">Toute fraude, tentative de fraude ou défaut de document(s) requis entraîne l'exclusion du contrevenant de la manifestation, sans préjudice de poursuites judiciaires éventuelles.  </w:t>
      </w:r>
    </w:p>
    <w:p w14:paraId="2412BCC2" w14:textId="77777777" w:rsidR="00210F14" w:rsidRDefault="00210F14" w:rsidP="00250FAC">
      <w:pPr>
        <w:spacing w:line="259" w:lineRule="auto"/>
      </w:pPr>
      <w:r>
        <w:t xml:space="preserve"> </w:t>
      </w:r>
    </w:p>
    <w:p w14:paraId="7DE021AF" w14:textId="77777777" w:rsidR="00210F14" w:rsidRPr="00250FAC" w:rsidRDefault="00210F14" w:rsidP="00250FAC">
      <w:pPr>
        <w:pStyle w:val="Titre1"/>
        <w:spacing w:before="0" w:after="0"/>
        <w:ind w:left="-5"/>
        <w:rPr>
          <w:sz w:val="32"/>
          <w:szCs w:val="32"/>
        </w:rPr>
      </w:pPr>
      <w:r w:rsidRPr="00250FAC">
        <w:rPr>
          <w:sz w:val="32"/>
          <w:szCs w:val="32"/>
        </w:rPr>
        <w:t>Article 5</w:t>
      </w:r>
      <w:r w:rsidRPr="00250FAC">
        <w:rPr>
          <w:sz w:val="32"/>
          <w:szCs w:val="32"/>
          <w:u w:color="000000"/>
        </w:rPr>
        <w:t xml:space="preserve">  </w:t>
      </w:r>
    </w:p>
    <w:p w14:paraId="1A793428" w14:textId="77777777" w:rsidR="00210F14" w:rsidRDefault="00210F14" w:rsidP="00210F14">
      <w:pPr>
        <w:ind w:left="-5"/>
      </w:pPr>
      <w:r>
        <w:t xml:space="preserve">Un passage d'une largeur de 3 mètres au moins devra être respecté sur l'entièreté de l'itinéraire de la brocante, afin de permettre l'accès aux véhicules de secours ou de police.  </w:t>
      </w:r>
    </w:p>
    <w:p w14:paraId="36D2A67E" w14:textId="77777777" w:rsidR="00210F14" w:rsidRDefault="00210F14" w:rsidP="00210F14">
      <w:pPr>
        <w:spacing w:line="259" w:lineRule="auto"/>
      </w:pPr>
      <w:r>
        <w:t xml:space="preserve"> </w:t>
      </w:r>
    </w:p>
    <w:p w14:paraId="4A49FFF2" w14:textId="77777777" w:rsidR="00210F14" w:rsidRPr="00250FAC" w:rsidRDefault="00210F14" w:rsidP="00210F14">
      <w:pPr>
        <w:pStyle w:val="Titre1"/>
        <w:ind w:left="-5"/>
        <w:rPr>
          <w:sz w:val="32"/>
          <w:szCs w:val="32"/>
        </w:rPr>
      </w:pPr>
      <w:r w:rsidRPr="00250FAC">
        <w:rPr>
          <w:sz w:val="32"/>
          <w:szCs w:val="32"/>
        </w:rPr>
        <w:lastRenderedPageBreak/>
        <w:t>Article 6</w:t>
      </w:r>
      <w:r w:rsidRPr="00250FAC">
        <w:rPr>
          <w:sz w:val="32"/>
          <w:szCs w:val="32"/>
          <w:u w:color="000000"/>
        </w:rPr>
        <w:t xml:space="preserve">  </w:t>
      </w:r>
    </w:p>
    <w:p w14:paraId="13ECCE65" w14:textId="77777777" w:rsidR="00210F14" w:rsidRDefault="00210F14" w:rsidP="00250FAC">
      <w:pPr>
        <w:ind w:left="-5"/>
      </w:pPr>
      <w:r>
        <w:t xml:space="preserve">Toute occupation de la voie publique la veille de la manifestation devra faire l'objet d'une demande adressée au Collège communal. En cas d'autorisation, tout véhicule, remorque ou autre stand empiétant sur la voie publique sera signalé par des bandes alternées rouges et blanches de type Il réfléchissant, ainsi que par des feux clignotants jaune-orange. Les véhicules et les remorques doivent satisfaire au règlement du Contrôle Technique.  </w:t>
      </w:r>
    </w:p>
    <w:p w14:paraId="7EB6A63F" w14:textId="77777777" w:rsidR="00210F14" w:rsidRDefault="00210F14" w:rsidP="00250FAC">
      <w:pPr>
        <w:spacing w:line="259" w:lineRule="auto"/>
      </w:pPr>
      <w:r>
        <w:t xml:space="preserve"> </w:t>
      </w:r>
    </w:p>
    <w:p w14:paraId="6652E9B2" w14:textId="3E073CCC" w:rsidR="00250FAC" w:rsidRPr="00250FAC" w:rsidRDefault="00250FAC" w:rsidP="00250FAC">
      <w:pPr>
        <w:pStyle w:val="Titre1"/>
        <w:spacing w:before="0" w:after="0"/>
        <w:ind w:left="-5"/>
        <w:rPr>
          <w:sz w:val="32"/>
          <w:szCs w:val="32"/>
        </w:rPr>
      </w:pPr>
      <w:r w:rsidRPr="00250FAC">
        <w:rPr>
          <w:sz w:val="32"/>
          <w:szCs w:val="32"/>
        </w:rPr>
        <w:t>Article 7</w:t>
      </w:r>
      <w:r w:rsidRPr="00250FAC">
        <w:rPr>
          <w:sz w:val="32"/>
          <w:szCs w:val="32"/>
          <w:u w:color="000000"/>
        </w:rPr>
        <w:t xml:space="preserve">  </w:t>
      </w:r>
    </w:p>
    <w:p w14:paraId="73B7CC58" w14:textId="77777777" w:rsidR="00210F14" w:rsidRDefault="00210F14" w:rsidP="00250FAC">
      <w:pPr>
        <w:ind w:left="-5"/>
      </w:pPr>
      <w:r>
        <w:t xml:space="preserve">Les bouches d'incendie devront rester libres d'accès.  </w:t>
      </w:r>
    </w:p>
    <w:p w14:paraId="6D27504A" w14:textId="77777777" w:rsidR="00210F14" w:rsidRDefault="00210F14" w:rsidP="00250FAC">
      <w:pPr>
        <w:spacing w:line="259" w:lineRule="auto"/>
      </w:pPr>
      <w:r>
        <w:t xml:space="preserve"> </w:t>
      </w:r>
    </w:p>
    <w:p w14:paraId="18401EB2" w14:textId="77777777" w:rsidR="00210F14" w:rsidRPr="00250FAC" w:rsidRDefault="00210F14" w:rsidP="00250FAC">
      <w:pPr>
        <w:pStyle w:val="Titre1"/>
        <w:spacing w:before="0" w:after="0"/>
        <w:ind w:left="-5"/>
        <w:rPr>
          <w:sz w:val="32"/>
          <w:szCs w:val="32"/>
        </w:rPr>
      </w:pPr>
      <w:r w:rsidRPr="00250FAC">
        <w:rPr>
          <w:sz w:val="32"/>
          <w:szCs w:val="32"/>
        </w:rPr>
        <w:t>Article 8</w:t>
      </w:r>
      <w:r w:rsidRPr="00250FAC">
        <w:rPr>
          <w:sz w:val="32"/>
          <w:szCs w:val="32"/>
          <w:u w:color="000000"/>
        </w:rPr>
        <w:t xml:space="preserve">  </w:t>
      </w:r>
    </w:p>
    <w:p w14:paraId="6EE65739" w14:textId="77777777" w:rsidR="00210F14" w:rsidRDefault="00210F14" w:rsidP="00250FAC">
      <w:pPr>
        <w:ind w:left="-5"/>
      </w:pPr>
      <w:r>
        <w:t xml:space="preserve">Il est strictement interdit de jeter ou d'abandonner des détritus ou autre objet sur la voie publique. Les participants sont tenus d'utiliser des sacs poubelles pour y stocker les déchets qu'ils produisent.  </w:t>
      </w:r>
    </w:p>
    <w:p w14:paraId="15AD0744" w14:textId="77777777" w:rsidR="00210F14" w:rsidRDefault="00210F14" w:rsidP="00250FAC">
      <w:pPr>
        <w:spacing w:line="259" w:lineRule="auto"/>
      </w:pPr>
      <w:r>
        <w:t xml:space="preserve"> </w:t>
      </w:r>
    </w:p>
    <w:p w14:paraId="29FC825D" w14:textId="77777777" w:rsidR="00210F14" w:rsidRPr="00250FAC" w:rsidRDefault="00210F14" w:rsidP="00250FAC">
      <w:pPr>
        <w:pStyle w:val="Titre1"/>
        <w:spacing w:before="0" w:after="0"/>
        <w:ind w:left="-5"/>
        <w:rPr>
          <w:sz w:val="32"/>
          <w:szCs w:val="32"/>
        </w:rPr>
      </w:pPr>
      <w:r w:rsidRPr="00250FAC">
        <w:rPr>
          <w:sz w:val="32"/>
          <w:szCs w:val="32"/>
        </w:rPr>
        <w:t>Article 9</w:t>
      </w:r>
      <w:r w:rsidRPr="00250FAC">
        <w:rPr>
          <w:sz w:val="32"/>
          <w:szCs w:val="32"/>
          <w:u w:color="000000"/>
        </w:rPr>
        <w:t xml:space="preserve">  </w:t>
      </w:r>
    </w:p>
    <w:p w14:paraId="3BB08CFE" w14:textId="77777777" w:rsidR="00250FAC" w:rsidRDefault="00250FAC" w:rsidP="00250FAC">
      <w:r w:rsidRPr="00F33B57">
        <w:rPr>
          <w:highlight w:val="yellow"/>
        </w:rPr>
        <w:t>Il est strictement interdit d’exposer, de proposer à la vente ou de distribuer, sous quelque forme que ce soit, des objets, documents, images, emblèmes, publications ou tout autre support présentant un caractère raciste, xénophobe, révisionniste ou faisant référence au nazisme, ainsi que tout élément susceptible de porter atteinte à l’ordre public, à la dignité humaine ou aux bonnes mœurs.</w:t>
      </w:r>
    </w:p>
    <w:p w14:paraId="0A398893" w14:textId="77777777" w:rsidR="00250FAC" w:rsidRDefault="00250FAC" w:rsidP="00250FAC"/>
    <w:p w14:paraId="6F80149E" w14:textId="107B4C01" w:rsidR="00250FAC" w:rsidRPr="00250FAC" w:rsidRDefault="00250FAC" w:rsidP="00250FAC">
      <w:pPr>
        <w:pStyle w:val="Titre1"/>
        <w:spacing w:before="0" w:after="0"/>
        <w:ind w:left="-5"/>
        <w:rPr>
          <w:sz w:val="32"/>
          <w:szCs w:val="32"/>
        </w:rPr>
      </w:pPr>
      <w:r w:rsidRPr="00250FAC">
        <w:rPr>
          <w:sz w:val="32"/>
          <w:szCs w:val="32"/>
        </w:rPr>
        <w:t>Article 10</w:t>
      </w:r>
      <w:r w:rsidRPr="00250FAC">
        <w:rPr>
          <w:sz w:val="32"/>
          <w:szCs w:val="32"/>
          <w:u w:color="000000"/>
        </w:rPr>
        <w:t xml:space="preserve">  </w:t>
      </w:r>
    </w:p>
    <w:p w14:paraId="06B2DFD8" w14:textId="29C6B5FD" w:rsidR="00250FAC" w:rsidRPr="00210F14" w:rsidRDefault="00250FAC" w:rsidP="00250FAC">
      <w:pPr>
        <w:spacing w:line="249" w:lineRule="auto"/>
        <w:ind w:left="10" w:hanging="10"/>
      </w:pPr>
      <w:r w:rsidRPr="00F33B57">
        <w:rPr>
          <w:highlight w:val="yellow"/>
        </w:rPr>
        <w:t>La manifestation est organisée dans un esprit de neutralité et de stricte indépendance à l’égard de toute organisation politique ; à ce titre, tout stand ou représentation officielle de nature politique ou assimilée est formellement exclu.</w:t>
      </w:r>
    </w:p>
    <w:p w14:paraId="19A524C3" w14:textId="77777777" w:rsidR="00250FAC" w:rsidRPr="00210F14" w:rsidRDefault="00250FAC" w:rsidP="00250FAC">
      <w:pPr>
        <w:spacing w:line="249" w:lineRule="auto"/>
        <w:ind w:left="10" w:hanging="10"/>
      </w:pPr>
    </w:p>
    <w:p w14:paraId="4AD8B200" w14:textId="77777777" w:rsidR="00210F14" w:rsidRDefault="00210F14" w:rsidP="00250FAC">
      <w:pPr>
        <w:spacing w:line="259" w:lineRule="auto"/>
      </w:pPr>
      <w:r>
        <w:t xml:space="preserve"> </w:t>
      </w:r>
    </w:p>
    <w:p w14:paraId="76318B67" w14:textId="77777777" w:rsidR="00210F14" w:rsidRPr="00250FAC" w:rsidRDefault="00210F14" w:rsidP="00250FAC">
      <w:pPr>
        <w:pStyle w:val="Titre1"/>
        <w:spacing w:before="0" w:after="0"/>
        <w:ind w:left="-5"/>
        <w:rPr>
          <w:sz w:val="32"/>
          <w:szCs w:val="32"/>
        </w:rPr>
      </w:pPr>
      <w:r w:rsidRPr="00250FAC">
        <w:rPr>
          <w:sz w:val="32"/>
          <w:szCs w:val="32"/>
        </w:rPr>
        <w:t>Article 11</w:t>
      </w:r>
      <w:r w:rsidRPr="00250FAC">
        <w:rPr>
          <w:sz w:val="32"/>
          <w:szCs w:val="32"/>
          <w:u w:color="000000"/>
        </w:rPr>
        <w:t xml:space="preserve">  </w:t>
      </w:r>
    </w:p>
    <w:p w14:paraId="65BDF3B7" w14:textId="77777777" w:rsidR="00210F14" w:rsidRDefault="00210F14" w:rsidP="00210F14">
      <w:pPr>
        <w:ind w:left="-5"/>
      </w:pPr>
      <w:r>
        <w:t xml:space="preserve">L'acceptation d'une carte de réservation implique la connaissance et le respect du présent règlement. </w:t>
      </w:r>
    </w:p>
    <w:p w14:paraId="5CD8CD65" w14:textId="057C261D" w:rsidR="00250FAC" w:rsidRPr="00210F14" w:rsidRDefault="00250FAC" w:rsidP="00250FAC">
      <w:pPr>
        <w:spacing w:after="4" w:line="249" w:lineRule="auto"/>
        <w:ind w:left="10" w:hanging="10"/>
      </w:pPr>
      <w:r w:rsidRPr="00F33B57">
        <w:rPr>
          <w:highlight w:val="yellow"/>
        </w:rPr>
        <w:t>Le non</w:t>
      </w:r>
      <w:r w:rsidRPr="00F33B57">
        <w:rPr>
          <w:highlight w:val="yellow"/>
        </w:rPr>
        <w:noBreakHyphen/>
        <w:t>respect des dispositions du présent règlement pourra entraîner, selon la gravité des faits, une exclusion immédiate de la manifestation ainsi qu’une interdiction temporaire ou définitive de participation aux éditions futures.</w:t>
      </w:r>
    </w:p>
    <w:p w14:paraId="433B92B7" w14:textId="044C7DA0" w:rsidR="00210F14" w:rsidRDefault="00210F14" w:rsidP="00210F14">
      <w:pPr>
        <w:spacing w:line="259" w:lineRule="auto"/>
      </w:pPr>
    </w:p>
    <w:p w14:paraId="5F784B26" w14:textId="77777777" w:rsidR="00210F14" w:rsidRDefault="00210F14" w:rsidP="00210F14">
      <w:pPr>
        <w:spacing w:line="259" w:lineRule="auto"/>
      </w:pPr>
      <w:r>
        <w:t xml:space="preserve"> </w:t>
      </w:r>
    </w:p>
    <w:p w14:paraId="24E7D463" w14:textId="52B72D2E" w:rsidR="00210F14" w:rsidRDefault="00210F14" w:rsidP="00210F14">
      <w:pPr>
        <w:tabs>
          <w:tab w:val="center" w:pos="2124"/>
          <w:tab w:val="center" w:pos="2832"/>
          <w:tab w:val="center" w:pos="3541"/>
          <w:tab w:val="center" w:pos="4249"/>
          <w:tab w:val="center" w:pos="4957"/>
          <w:tab w:val="center" w:pos="5665"/>
          <w:tab w:val="center" w:pos="6373"/>
          <w:tab w:val="center" w:pos="7081"/>
          <w:tab w:val="center" w:pos="7789"/>
          <w:tab w:val="center" w:pos="9148"/>
        </w:tabs>
        <w:ind w:left="-15"/>
      </w:pPr>
      <w:r>
        <w:t xml:space="preserve"> Catherine DAEMS, </w:t>
      </w: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t xml:space="preserve">Francis DEJON, </w:t>
      </w:r>
    </w:p>
    <w:p w14:paraId="6CCB9CCC" w14:textId="77777777" w:rsidR="00210F14" w:rsidRDefault="00210F14" w:rsidP="00210F14">
      <w:pPr>
        <w:spacing w:line="259" w:lineRule="auto"/>
      </w:pPr>
      <w:r>
        <w:rPr>
          <w:i/>
          <w:sz w:val="16"/>
        </w:rPr>
        <w:t xml:space="preserve">  </w:t>
      </w:r>
    </w:p>
    <w:p w14:paraId="5A4B3F36" w14:textId="6D91CE59" w:rsidR="00210F14" w:rsidRDefault="00210F14" w:rsidP="00210F14">
      <w:pPr>
        <w:tabs>
          <w:tab w:val="center" w:pos="2124"/>
          <w:tab w:val="center" w:pos="4249"/>
          <w:tab w:val="center" w:pos="4957"/>
          <w:tab w:val="center" w:pos="5665"/>
          <w:tab w:val="center" w:pos="6373"/>
          <w:tab w:val="center" w:pos="7081"/>
          <w:tab w:val="center" w:pos="8693"/>
          <w:tab w:val="center" w:pos="9914"/>
        </w:tabs>
        <w:spacing w:line="259" w:lineRule="auto"/>
      </w:pPr>
      <w:r>
        <w:rPr>
          <w:i/>
          <w:sz w:val="16"/>
        </w:rPr>
        <w:t xml:space="preserve">  Directrice Générale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Bourgmestre </w:t>
      </w:r>
      <w:r>
        <w:rPr>
          <w:i/>
          <w:sz w:val="16"/>
        </w:rPr>
        <w:tab/>
        <w:t xml:space="preserve"> </w:t>
      </w:r>
    </w:p>
    <w:p w14:paraId="6A12CEB0" w14:textId="77777777" w:rsidR="00210F14" w:rsidRPr="00210F14" w:rsidRDefault="00210F14" w:rsidP="00210F14">
      <w:pPr>
        <w:spacing w:after="4" w:line="249" w:lineRule="auto"/>
        <w:ind w:left="10" w:hanging="10"/>
      </w:pPr>
      <w:r w:rsidRPr="00210F14">
        <w:t> </w:t>
      </w:r>
    </w:p>
    <w:p w14:paraId="27B52C45" w14:textId="77777777" w:rsidR="00210F14" w:rsidRPr="00210F14" w:rsidRDefault="00210F14" w:rsidP="00210F14">
      <w:pPr>
        <w:spacing w:after="4" w:line="249" w:lineRule="auto"/>
        <w:ind w:left="10" w:hanging="10"/>
      </w:pPr>
      <w:r w:rsidRPr="00210F14">
        <w:t> </w:t>
      </w:r>
    </w:p>
    <w:p w14:paraId="6C70178C" w14:textId="00E455AB" w:rsidR="00210F14" w:rsidRPr="00210F14" w:rsidRDefault="00210F14" w:rsidP="00210F14">
      <w:pPr>
        <w:spacing w:after="4" w:line="249" w:lineRule="auto"/>
        <w:ind w:left="10" w:hanging="10"/>
      </w:pPr>
    </w:p>
    <w:p w14:paraId="0FC33445" w14:textId="77777777" w:rsidR="00210F14" w:rsidRPr="00210F14" w:rsidRDefault="00210F14" w:rsidP="00210F14">
      <w:pPr>
        <w:spacing w:after="4" w:line="249" w:lineRule="auto"/>
        <w:ind w:left="10" w:hanging="10"/>
      </w:pPr>
      <w:r w:rsidRPr="00210F14">
        <w:t> </w:t>
      </w:r>
    </w:p>
    <w:p w14:paraId="4D04E0F6" w14:textId="77777777" w:rsidR="00EA52F7" w:rsidRDefault="00EA52F7"/>
    <w:sectPr w:rsidR="00EA5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D0F"/>
    <w:multiLevelType w:val="multilevel"/>
    <w:tmpl w:val="229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83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F7"/>
    <w:rsid w:val="00210F14"/>
    <w:rsid w:val="00250FAC"/>
    <w:rsid w:val="00320AB4"/>
    <w:rsid w:val="00325396"/>
    <w:rsid w:val="003610F7"/>
    <w:rsid w:val="003B422B"/>
    <w:rsid w:val="003B4F97"/>
    <w:rsid w:val="006F6365"/>
    <w:rsid w:val="00C57C2D"/>
    <w:rsid w:val="00D64E73"/>
    <w:rsid w:val="00EA52F7"/>
    <w:rsid w:val="00F33B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334D"/>
  <w15:chartTrackingRefBased/>
  <w15:docId w15:val="{7BE16196-B8C7-467C-AA50-A7352892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14"/>
    <w:rPr>
      <w:rFonts w:ascii="Arial" w:eastAsia="Arial" w:hAnsi="Arial" w:cs="Arial"/>
      <w:color w:val="000000"/>
      <w:sz w:val="18"/>
      <w:szCs w:val="24"/>
      <w:lang w:eastAsia="fr-BE"/>
    </w:rPr>
  </w:style>
  <w:style w:type="paragraph" w:styleId="Titre1">
    <w:name w:val="heading 1"/>
    <w:basedOn w:val="Normal"/>
    <w:next w:val="Normal"/>
    <w:link w:val="Titre1Car"/>
    <w:uiPriority w:val="9"/>
    <w:qFormat/>
    <w:rsid w:val="0036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10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10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10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10F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10F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10F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10F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10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10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10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10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10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10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10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10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10F7"/>
    <w:rPr>
      <w:rFonts w:eastAsiaTheme="majorEastAsia" w:cstheme="majorBidi"/>
      <w:color w:val="272727" w:themeColor="text1" w:themeTint="D8"/>
    </w:rPr>
  </w:style>
  <w:style w:type="paragraph" w:styleId="Titre">
    <w:name w:val="Title"/>
    <w:basedOn w:val="Normal"/>
    <w:next w:val="Normal"/>
    <w:link w:val="TitreCar"/>
    <w:uiPriority w:val="10"/>
    <w:qFormat/>
    <w:rsid w:val="003610F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10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10F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10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10F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610F7"/>
    <w:rPr>
      <w:i/>
      <w:iCs/>
      <w:color w:val="404040" w:themeColor="text1" w:themeTint="BF"/>
    </w:rPr>
  </w:style>
  <w:style w:type="paragraph" w:styleId="Paragraphedeliste">
    <w:name w:val="List Paragraph"/>
    <w:basedOn w:val="Normal"/>
    <w:uiPriority w:val="34"/>
    <w:qFormat/>
    <w:rsid w:val="003610F7"/>
    <w:pPr>
      <w:ind w:left="720"/>
      <w:contextualSpacing/>
    </w:pPr>
  </w:style>
  <w:style w:type="character" w:styleId="Accentuationintense">
    <w:name w:val="Intense Emphasis"/>
    <w:basedOn w:val="Policepardfaut"/>
    <w:uiPriority w:val="21"/>
    <w:qFormat/>
    <w:rsid w:val="003610F7"/>
    <w:rPr>
      <w:i/>
      <w:iCs/>
      <w:color w:val="0F4761" w:themeColor="accent1" w:themeShade="BF"/>
    </w:rPr>
  </w:style>
  <w:style w:type="paragraph" w:styleId="Citationintense">
    <w:name w:val="Intense Quote"/>
    <w:basedOn w:val="Normal"/>
    <w:next w:val="Normal"/>
    <w:link w:val="CitationintenseCar"/>
    <w:uiPriority w:val="30"/>
    <w:qFormat/>
    <w:rsid w:val="0036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10F7"/>
    <w:rPr>
      <w:i/>
      <w:iCs/>
      <w:color w:val="0F4761" w:themeColor="accent1" w:themeShade="BF"/>
    </w:rPr>
  </w:style>
  <w:style w:type="character" w:styleId="Rfrenceintense">
    <w:name w:val="Intense Reference"/>
    <w:basedOn w:val="Policepardfaut"/>
    <w:uiPriority w:val="32"/>
    <w:qFormat/>
    <w:rsid w:val="003610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872</Words>
  <Characters>4799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Daems</dc:creator>
  <cp:keywords/>
  <dc:description/>
  <cp:lastModifiedBy>Catherine Daems</cp:lastModifiedBy>
  <cp:revision>3</cp:revision>
  <dcterms:created xsi:type="dcterms:W3CDTF">2026-03-14T08:38:00Z</dcterms:created>
  <dcterms:modified xsi:type="dcterms:W3CDTF">2026-03-18T12:04:00Z</dcterms:modified>
</cp:coreProperties>
</file>