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3D61" w14:textId="77777777" w:rsidR="00103778" w:rsidRDefault="000B311C" w:rsidP="00D32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REGLEMENT COMMUNAL RELATIF A L’IMPLANTATION ET L’EXPLOITATION</w:t>
      </w:r>
    </w:p>
    <w:p w14:paraId="23343CFC" w14:textId="137CFDB7" w:rsidR="000B311C" w:rsidRDefault="000B311C" w:rsidP="00421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</w:t>
      </w:r>
      <w:r w:rsidR="0091316E">
        <w:t>ES</w:t>
      </w:r>
      <w:r>
        <w:t xml:space="preserve"> </w:t>
      </w:r>
      <w:r w:rsidR="009C0FFB">
        <w:t>LIBRAIRIES-PRESSE</w:t>
      </w:r>
      <w:r>
        <w:t xml:space="preserve"> SUR LE TERRITOIRE DE VERVIERS</w:t>
      </w:r>
    </w:p>
    <w:p w14:paraId="7B2FAB5A" w14:textId="77777777" w:rsidR="009D6AEF" w:rsidRDefault="009D6AEF"/>
    <w:p w14:paraId="668EEB88" w14:textId="64233B1C" w:rsidR="006611ED" w:rsidRPr="006611ED" w:rsidRDefault="006611ED" w:rsidP="00D324A6">
      <w:pPr>
        <w:jc w:val="center"/>
        <w:rPr>
          <w:b/>
          <w:bCs/>
          <w:u w:val="single"/>
        </w:rPr>
      </w:pPr>
      <w:r w:rsidRPr="006611ED">
        <w:rPr>
          <w:b/>
          <w:bCs/>
          <w:u w:val="single"/>
        </w:rPr>
        <w:t xml:space="preserve">Section 1 </w:t>
      </w:r>
      <w:r w:rsidR="001C329E">
        <w:rPr>
          <w:b/>
          <w:bCs/>
          <w:u w:val="single"/>
        </w:rPr>
        <w:t>-</w:t>
      </w:r>
      <w:r w:rsidRPr="006611ED">
        <w:rPr>
          <w:b/>
          <w:bCs/>
          <w:u w:val="single"/>
        </w:rPr>
        <w:t xml:space="preserve"> Champ d’application</w:t>
      </w:r>
    </w:p>
    <w:p w14:paraId="667E5F62" w14:textId="77777777" w:rsidR="00AD7EF0" w:rsidRDefault="00AD7EF0" w:rsidP="00AD7EF0">
      <w:r w:rsidRPr="0011362C">
        <w:rPr>
          <w:b/>
          <w:bCs/>
        </w:rPr>
        <w:t xml:space="preserve">Article </w:t>
      </w:r>
      <w:r>
        <w:rPr>
          <w:b/>
          <w:bCs/>
        </w:rPr>
        <w:t>1</w:t>
      </w:r>
      <w:r w:rsidRPr="0011362C">
        <w:rPr>
          <w:b/>
          <w:bCs/>
        </w:rPr>
        <w:t xml:space="preserve"> – </w:t>
      </w:r>
      <w:r>
        <w:rPr>
          <w:b/>
          <w:bCs/>
        </w:rPr>
        <w:t>Définition</w:t>
      </w:r>
    </w:p>
    <w:p w14:paraId="13EEACD5" w14:textId="3D1E06DC" w:rsidR="006611ED" w:rsidRPr="006611ED" w:rsidRDefault="006611ED" w:rsidP="006611ED">
      <w:r w:rsidRPr="006611ED">
        <w:t xml:space="preserve">Les dispositions du présent règlement s’appliquent aux </w:t>
      </w:r>
      <w:r w:rsidR="009C0FFB">
        <w:t>librairies-presse</w:t>
      </w:r>
      <w:r w:rsidRPr="006611ED">
        <w:t>, telles que définies par l</w:t>
      </w:r>
      <w:r w:rsidR="001C09FC">
        <w:t>a</w:t>
      </w:r>
      <w:r w:rsidRPr="006611ED">
        <w:t xml:space="preserve"> loi du 10 novembre 2006 relatives aux heures d’ouverture dans le commerce, l’artisanat et les services.</w:t>
      </w:r>
    </w:p>
    <w:p w14:paraId="4669147C" w14:textId="43F9F44C" w:rsidR="006611ED" w:rsidRPr="006611ED" w:rsidRDefault="006611ED" w:rsidP="006611ED">
      <w:r w:rsidRPr="006611ED">
        <w:t xml:space="preserve">Au sens du présent règlement, une </w:t>
      </w:r>
      <w:r w:rsidR="009C0FFB">
        <w:t>librairie-presse</w:t>
      </w:r>
      <w:r w:rsidRPr="006611ED">
        <w:t xml:space="preserve"> désigne toute unité d’établissement dont l’activité principale consiste en la vente de :</w:t>
      </w:r>
    </w:p>
    <w:p w14:paraId="4843C039" w14:textId="69797D00" w:rsidR="006611ED" w:rsidRPr="006611ED" w:rsidRDefault="006611ED" w:rsidP="006611ED">
      <w:pPr>
        <w:numPr>
          <w:ilvl w:val="0"/>
          <w:numId w:val="3"/>
        </w:numPr>
      </w:pPr>
      <w:r w:rsidRPr="006611ED">
        <w:t>Journaux et magazines</w:t>
      </w:r>
      <w:r w:rsidR="00286157">
        <w:t> ;</w:t>
      </w:r>
    </w:p>
    <w:p w14:paraId="6A32291D" w14:textId="6D469FE8" w:rsidR="006611ED" w:rsidRPr="006611ED" w:rsidRDefault="006611ED" w:rsidP="006611ED">
      <w:pPr>
        <w:numPr>
          <w:ilvl w:val="0"/>
          <w:numId w:val="3"/>
        </w:numPr>
      </w:pPr>
      <w:r w:rsidRPr="006611ED">
        <w:t>Produits de tabac et articles pour fumeurs</w:t>
      </w:r>
      <w:r w:rsidR="007E3E32">
        <w:t> ;</w:t>
      </w:r>
    </w:p>
    <w:p w14:paraId="216038A5" w14:textId="68600EEC" w:rsidR="006611ED" w:rsidRPr="006611ED" w:rsidRDefault="006611ED" w:rsidP="006611ED">
      <w:pPr>
        <w:numPr>
          <w:ilvl w:val="0"/>
          <w:numId w:val="3"/>
        </w:numPr>
      </w:pPr>
      <w:r w:rsidRPr="006611ED">
        <w:t>Cartes téléphoniques</w:t>
      </w:r>
      <w:r w:rsidR="007E3E32">
        <w:t> ;</w:t>
      </w:r>
    </w:p>
    <w:p w14:paraId="0369D621" w14:textId="4625779B" w:rsidR="006611ED" w:rsidRPr="006611ED" w:rsidRDefault="006611ED" w:rsidP="006611ED">
      <w:pPr>
        <w:numPr>
          <w:ilvl w:val="0"/>
          <w:numId w:val="3"/>
        </w:numPr>
      </w:pPr>
      <w:r w:rsidRPr="006611ED">
        <w:t>Produits de la Loterie Nationale</w:t>
      </w:r>
      <w:r w:rsidR="007E3E32">
        <w:t>.</w:t>
      </w:r>
    </w:p>
    <w:p w14:paraId="48975670" w14:textId="43426E5C" w:rsidR="005271C7" w:rsidRDefault="006611ED" w:rsidP="003A6B37">
      <w:pPr>
        <w:pStyle w:val="Paragraphedeliste"/>
        <w:ind w:left="0"/>
      </w:pPr>
      <w:r w:rsidRPr="006611ED">
        <w:t>Ces produits doivent représenter au moins 50 % du chiffre d’affaires total</w:t>
      </w:r>
      <w:r w:rsidR="00AD7EF0">
        <w:t xml:space="preserve"> de l’unité d’établissement</w:t>
      </w:r>
      <w:r w:rsidRPr="006611ED">
        <w:t>.</w:t>
      </w:r>
    </w:p>
    <w:p w14:paraId="4C40E436" w14:textId="77777777" w:rsidR="00103778" w:rsidRDefault="00103778" w:rsidP="00421C82">
      <w:pPr>
        <w:pStyle w:val="Paragraphedeliste"/>
        <w:ind w:left="0"/>
      </w:pPr>
    </w:p>
    <w:p w14:paraId="3F9C98AF" w14:textId="77777777" w:rsidR="00AF328D" w:rsidRPr="006611ED" w:rsidRDefault="00AF328D" w:rsidP="00421C82">
      <w:pPr>
        <w:pStyle w:val="Paragraphedeliste"/>
        <w:ind w:left="0"/>
      </w:pPr>
    </w:p>
    <w:p w14:paraId="21F08903" w14:textId="289CA91E" w:rsidR="006611ED" w:rsidRPr="006611ED" w:rsidRDefault="006611ED" w:rsidP="00D324A6">
      <w:pPr>
        <w:jc w:val="center"/>
        <w:rPr>
          <w:b/>
          <w:bCs/>
          <w:u w:val="single"/>
        </w:rPr>
      </w:pPr>
      <w:r w:rsidRPr="006611ED">
        <w:rPr>
          <w:b/>
          <w:bCs/>
          <w:u w:val="single"/>
        </w:rPr>
        <w:t xml:space="preserve">Section 2 </w:t>
      </w:r>
      <w:r w:rsidR="001C329E">
        <w:rPr>
          <w:b/>
          <w:bCs/>
          <w:u w:val="single"/>
        </w:rPr>
        <w:t>-</w:t>
      </w:r>
      <w:r w:rsidRPr="006611ED">
        <w:rPr>
          <w:b/>
          <w:bCs/>
          <w:u w:val="single"/>
        </w:rPr>
        <w:t xml:space="preserve"> Horaires d’ouverture</w:t>
      </w:r>
    </w:p>
    <w:p w14:paraId="304AEF5B" w14:textId="3633D9B9" w:rsidR="005A33F5" w:rsidRDefault="005A33F5" w:rsidP="006611ED">
      <w:r w:rsidRPr="0011362C">
        <w:rPr>
          <w:b/>
          <w:bCs/>
        </w:rPr>
        <w:t xml:space="preserve">Article </w:t>
      </w:r>
      <w:r>
        <w:rPr>
          <w:b/>
          <w:bCs/>
        </w:rPr>
        <w:t>2</w:t>
      </w:r>
      <w:r w:rsidRPr="0011362C">
        <w:rPr>
          <w:b/>
          <w:bCs/>
        </w:rPr>
        <w:t xml:space="preserve"> – </w:t>
      </w:r>
      <w:r>
        <w:rPr>
          <w:b/>
          <w:bCs/>
        </w:rPr>
        <w:t xml:space="preserve">Régime horaire général et restriction </w:t>
      </w:r>
      <w:r w:rsidR="00167640">
        <w:rPr>
          <w:b/>
          <w:bCs/>
        </w:rPr>
        <w:t>locale</w:t>
      </w:r>
    </w:p>
    <w:p w14:paraId="23C4F4DC" w14:textId="671DE14C" w:rsidR="006611ED" w:rsidRPr="006611ED" w:rsidRDefault="006611ED" w:rsidP="006611ED">
      <w:r w:rsidRPr="006611ED">
        <w:t xml:space="preserve">Les </w:t>
      </w:r>
      <w:r w:rsidR="009C0FFB">
        <w:t>librairies-presse</w:t>
      </w:r>
      <w:r w:rsidRPr="006611ED">
        <w:t xml:space="preserve"> bénéficient d’une dérogation à la législation générale sur les horaires d’ouverture et le repos hebdomadaire obligatoire</w:t>
      </w:r>
      <w:r w:rsidR="005A33F5">
        <w:t xml:space="preserve"> dans le commerce</w:t>
      </w:r>
      <w:r w:rsidRPr="006611ED">
        <w:t>.</w:t>
      </w:r>
    </w:p>
    <w:p w14:paraId="7AFC4CCF" w14:textId="00590AB6" w:rsidR="000C0CE0" w:rsidRDefault="006611ED" w:rsidP="005271C7">
      <w:r w:rsidRPr="006611ED">
        <w:t>L</w:t>
      </w:r>
      <w:r w:rsidR="005A33F5">
        <w:t xml:space="preserve">eur </w:t>
      </w:r>
      <w:r w:rsidRPr="006611ED">
        <w:t xml:space="preserve">exploitation est autorisée sur l’ensemble du territoire de Verviers. Toutefois, dans les </w:t>
      </w:r>
      <w:r w:rsidR="00C54184">
        <w:t>principaux cœurs de quartier</w:t>
      </w:r>
      <w:r w:rsidR="00871763">
        <w:t xml:space="preserve"> de l’agglomération </w:t>
      </w:r>
      <w:r w:rsidR="00C54184">
        <w:t>mieux circonscrits sur base de</w:t>
      </w:r>
      <w:r w:rsidR="00871763">
        <w:t xml:space="preserve"> la liste des rues </w:t>
      </w:r>
      <w:r w:rsidR="001C329E" w:rsidRPr="00ED3584">
        <w:t>d</w:t>
      </w:r>
      <w:r w:rsidR="00871763">
        <w:t>étaillée en annexe du présent règlement</w:t>
      </w:r>
      <w:r w:rsidRPr="006611ED">
        <w:t xml:space="preserve">, </w:t>
      </w:r>
      <w:r w:rsidR="00871763">
        <w:t>l’</w:t>
      </w:r>
      <w:r w:rsidR="00167640">
        <w:t xml:space="preserve">ouverture des </w:t>
      </w:r>
      <w:r w:rsidR="009C0FFB">
        <w:t>librairies-presse</w:t>
      </w:r>
      <w:r w:rsidRPr="006611ED">
        <w:t xml:space="preserve"> </w:t>
      </w:r>
      <w:r w:rsidR="00871763">
        <w:t>n’est autorisée que de</w:t>
      </w:r>
      <w:r w:rsidRPr="006611ED">
        <w:t xml:space="preserve"> 05h00 à 21h00</w:t>
      </w:r>
      <w:r>
        <w:t>.</w:t>
      </w:r>
    </w:p>
    <w:p w14:paraId="3A0DB945" w14:textId="067FA0CE" w:rsidR="00093721" w:rsidRDefault="00093721" w:rsidP="00093721">
      <w:r>
        <w:t>Cette restriction horaire locale vise à prévenir, en soirée et durant la nuit, les nuisances pouvant être générées par l’activité commerciale des librairies-presse, et, notamment, les mouvements de clientèle, les flux de circulation induits, le bruit ambiant et les comportements annexes, compromettant le maintien du bon ordre, de la salubrité et de la tranquillité publique.</w:t>
      </w:r>
    </w:p>
    <w:p w14:paraId="27F591E2" w14:textId="77777777" w:rsidR="0011362C" w:rsidRDefault="0011362C" w:rsidP="00B914F9"/>
    <w:p w14:paraId="46107928" w14:textId="77965B00" w:rsidR="00AE3970" w:rsidRPr="006611ED" w:rsidRDefault="00AE3970" w:rsidP="00AE3970">
      <w:pPr>
        <w:jc w:val="center"/>
        <w:rPr>
          <w:b/>
          <w:bCs/>
          <w:u w:val="single"/>
        </w:rPr>
      </w:pPr>
      <w:r w:rsidRPr="006611ED">
        <w:rPr>
          <w:b/>
          <w:bCs/>
          <w:u w:val="single"/>
        </w:rPr>
        <w:t xml:space="preserve">Section 3 </w:t>
      </w:r>
      <w:r w:rsidR="001C329E">
        <w:rPr>
          <w:b/>
          <w:bCs/>
          <w:u w:val="single"/>
        </w:rPr>
        <w:t>-</w:t>
      </w:r>
      <w:r w:rsidRPr="006611E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Implan</w:t>
      </w:r>
      <w:r w:rsidR="005271C7">
        <w:rPr>
          <w:b/>
          <w:bCs/>
          <w:u w:val="single"/>
        </w:rPr>
        <w:t>tation</w:t>
      </w:r>
    </w:p>
    <w:p w14:paraId="1DF2A0BE" w14:textId="68E10C02" w:rsidR="005271C7" w:rsidRDefault="005271C7" w:rsidP="005271C7">
      <w:r w:rsidRPr="0011362C">
        <w:rPr>
          <w:b/>
          <w:bCs/>
        </w:rPr>
        <w:t xml:space="preserve">Article </w:t>
      </w:r>
      <w:r>
        <w:rPr>
          <w:b/>
          <w:bCs/>
        </w:rPr>
        <w:t>3</w:t>
      </w:r>
      <w:r w:rsidRPr="0011362C">
        <w:rPr>
          <w:b/>
          <w:bCs/>
        </w:rPr>
        <w:t xml:space="preserve"> – </w:t>
      </w:r>
      <w:r>
        <w:rPr>
          <w:b/>
          <w:bCs/>
        </w:rPr>
        <w:t>Autorisation préalable</w:t>
      </w:r>
    </w:p>
    <w:p w14:paraId="4604D3C5" w14:textId="6114DA71" w:rsidR="005271C7" w:rsidRDefault="005271C7" w:rsidP="00AE3970">
      <w:r>
        <w:t>Tout projet d</w:t>
      </w:r>
      <w:r w:rsidR="00AE3970" w:rsidRPr="006611ED">
        <w:t xml:space="preserve">’implantation d’une </w:t>
      </w:r>
      <w:r w:rsidR="009C0FFB">
        <w:t>librairie-presse</w:t>
      </w:r>
      <w:r>
        <w:t xml:space="preserve"> est soumis à autorisation préalable du Collège communal si les conditions cumulatives suivantes sont réunies : </w:t>
      </w:r>
    </w:p>
    <w:p w14:paraId="22AACCC5" w14:textId="46BE4B27" w:rsidR="005271C7" w:rsidRDefault="005271C7" w:rsidP="00B914F9">
      <w:pPr>
        <w:pStyle w:val="Paragraphedeliste"/>
        <w:numPr>
          <w:ilvl w:val="0"/>
          <w:numId w:val="9"/>
        </w:numPr>
      </w:pPr>
      <w:r>
        <w:lastRenderedPageBreak/>
        <w:t xml:space="preserve">l’adresse d’implantation de l’établissement est située en dehors des rues soumises à </w:t>
      </w:r>
      <w:r w:rsidR="003E7B40">
        <w:t xml:space="preserve">la </w:t>
      </w:r>
      <w:r>
        <w:t>restriction horaire locale ;</w:t>
      </w:r>
    </w:p>
    <w:p w14:paraId="1FEC4BCF" w14:textId="09F2E0F3" w:rsidR="001C329E" w:rsidRDefault="005271C7" w:rsidP="001C329E">
      <w:pPr>
        <w:pStyle w:val="Paragraphedeliste"/>
        <w:numPr>
          <w:ilvl w:val="0"/>
          <w:numId w:val="9"/>
        </w:numPr>
      </w:pPr>
      <w:r w:rsidRPr="005271C7">
        <w:t xml:space="preserve">l'accès des consommateurs à </w:t>
      </w:r>
      <w:r>
        <w:t>l</w:t>
      </w:r>
      <w:r w:rsidRPr="005271C7">
        <w:t>'établissement et la vente de produits aux consommateurs ont lieu avant 5h et après 21h.</w:t>
      </w:r>
    </w:p>
    <w:p w14:paraId="3C422CCC" w14:textId="77777777" w:rsidR="005271C7" w:rsidRDefault="005271C7" w:rsidP="005271C7"/>
    <w:p w14:paraId="646E775F" w14:textId="0B51151B" w:rsidR="005271C7" w:rsidRDefault="005271C7" w:rsidP="005271C7">
      <w:r w:rsidRPr="0011362C">
        <w:rPr>
          <w:b/>
          <w:bCs/>
        </w:rPr>
        <w:t xml:space="preserve">Article </w:t>
      </w:r>
      <w:r>
        <w:rPr>
          <w:b/>
          <w:bCs/>
        </w:rPr>
        <w:t>4</w:t>
      </w:r>
      <w:r w:rsidRPr="0011362C">
        <w:rPr>
          <w:b/>
          <w:bCs/>
        </w:rPr>
        <w:t xml:space="preserve"> – </w:t>
      </w:r>
      <w:r>
        <w:rPr>
          <w:b/>
          <w:bCs/>
        </w:rPr>
        <w:t>Critères d’implantation</w:t>
      </w:r>
    </w:p>
    <w:p w14:paraId="033A8A51" w14:textId="780D023B" w:rsidR="005271C7" w:rsidRDefault="005271C7" w:rsidP="00AE3970">
      <w:r>
        <w:t xml:space="preserve">Tout </w:t>
      </w:r>
      <w:r w:rsidR="009C0FFB">
        <w:t>librairie-presse</w:t>
      </w:r>
      <w:r>
        <w:t xml:space="preserve"> dont le projet d’implantation est soumis à autorisation préalable doit répondre aux critères suivants :</w:t>
      </w:r>
    </w:p>
    <w:p w14:paraId="5085B3E5" w14:textId="431E17E6" w:rsidR="005271C7" w:rsidRPr="005271C7" w:rsidRDefault="003E7B40" w:rsidP="00B914F9">
      <w:pPr>
        <w:pStyle w:val="Paragraphedeliste"/>
        <w:numPr>
          <w:ilvl w:val="0"/>
          <w:numId w:val="9"/>
        </w:numPr>
      </w:pPr>
      <w:bookmarkStart w:id="0" w:name="_Hlk216185341"/>
      <w:r w:rsidRPr="003E7B40">
        <w:t xml:space="preserve">Localisation : </w:t>
      </w:r>
      <w:r w:rsidR="00286157">
        <w:t>l</w:t>
      </w:r>
      <w:r w:rsidR="00286157" w:rsidRPr="00286157">
        <w:t xml:space="preserve">’établissement doit être implanté à une distance minimale de </w:t>
      </w:r>
      <w:r w:rsidR="00B96143">
        <w:t>10</w:t>
      </w:r>
      <w:r w:rsidR="00286157" w:rsidRPr="00286157">
        <w:t>0 mètres, mesurée le long de la voirie, par rapport à toute rue soumise à une restriction horaire locale, afin de garantir la tranquillité publique</w:t>
      </w:r>
      <w:r w:rsidRPr="003E7B40">
        <w:t xml:space="preserve"> ;</w:t>
      </w:r>
    </w:p>
    <w:p w14:paraId="3F10AF94" w14:textId="22CF7DF6" w:rsidR="00286157" w:rsidRPr="00286157" w:rsidRDefault="00286157" w:rsidP="00286157">
      <w:pPr>
        <w:pStyle w:val="Paragraphedeliste"/>
        <w:numPr>
          <w:ilvl w:val="0"/>
          <w:numId w:val="9"/>
        </w:numPr>
      </w:pPr>
      <w:r>
        <w:t>Stationnement</w:t>
      </w:r>
      <w:r w:rsidRPr="005271C7">
        <w:t> </w:t>
      </w:r>
      <w:r w:rsidR="005271C7" w:rsidRPr="005271C7">
        <w:t>: l’établissement doit</w:t>
      </w:r>
      <w:r w:rsidR="00F91B12">
        <w:t> :</w:t>
      </w:r>
    </w:p>
    <w:p w14:paraId="7E2C9309" w14:textId="669A29A5" w:rsidR="00286157" w:rsidRPr="006E386C" w:rsidRDefault="00B86779" w:rsidP="008D63EC">
      <w:pPr>
        <w:pStyle w:val="Paragraphedeliste"/>
        <w:numPr>
          <w:ilvl w:val="1"/>
          <w:numId w:val="9"/>
        </w:numPr>
      </w:pPr>
      <w:r w:rsidRPr="00286157">
        <w:t xml:space="preserve">soit </w:t>
      </w:r>
      <w:r w:rsidR="007D7F94">
        <w:t>jouir</w:t>
      </w:r>
      <w:r w:rsidR="00286157" w:rsidRPr="005271C7">
        <w:t xml:space="preserve"> </w:t>
      </w:r>
      <w:r w:rsidR="00286157" w:rsidRPr="00286157">
        <w:t xml:space="preserve">d’un parking privatif </w:t>
      </w:r>
      <w:r w:rsidR="00F33D68" w:rsidRPr="006E386C">
        <w:t>ou accessible au public</w:t>
      </w:r>
      <w:r w:rsidR="007D7F94" w:rsidRPr="006E386C">
        <w:t xml:space="preserve"> hors voirie </w:t>
      </w:r>
      <w:r w:rsidR="00F33D68" w:rsidRPr="006E386C">
        <w:t>à maximum 50 mètres de celui-ci</w:t>
      </w:r>
      <w:r w:rsidR="008D63EC" w:rsidRPr="006E386C">
        <w:t>,</w:t>
      </w:r>
    </w:p>
    <w:p w14:paraId="1A728B50" w14:textId="335CE301" w:rsidR="008D63EC" w:rsidRDefault="00B86779" w:rsidP="008D63EC">
      <w:pPr>
        <w:pStyle w:val="Paragraphedeliste"/>
        <w:numPr>
          <w:ilvl w:val="1"/>
          <w:numId w:val="9"/>
        </w:numPr>
      </w:pPr>
      <w:r w:rsidRPr="006E386C">
        <w:t xml:space="preserve">soit </w:t>
      </w:r>
      <w:r w:rsidR="004B461F" w:rsidRPr="006E386C">
        <w:t xml:space="preserve">justifier </w:t>
      </w:r>
      <w:r w:rsidR="00F33D68" w:rsidRPr="006E386C">
        <w:t>d’un</w:t>
      </w:r>
      <w:r w:rsidR="00122E90" w:rsidRPr="006E386C">
        <w:t xml:space="preserve"> </w:t>
      </w:r>
      <w:r w:rsidR="004B461F" w:rsidRPr="006E386C">
        <w:t>stationnement</w:t>
      </w:r>
      <w:r w:rsidR="004B461F" w:rsidRPr="00286157">
        <w:t xml:space="preserve"> public</w:t>
      </w:r>
      <w:r w:rsidR="00DA5BC6">
        <w:t xml:space="preserve"> autorisé</w:t>
      </w:r>
      <w:r w:rsidR="004B461F" w:rsidRPr="006E386C">
        <w:t xml:space="preserve"> en voirie</w:t>
      </w:r>
      <w:r w:rsidR="004B461F">
        <w:rPr>
          <w:b/>
          <w:bCs/>
        </w:rPr>
        <w:t xml:space="preserve"> </w:t>
      </w:r>
      <w:r w:rsidR="00122E90" w:rsidRPr="00122E90">
        <w:t>du côté adjacent à sa devanture et</w:t>
      </w:r>
      <w:r w:rsidR="00F33D68">
        <w:t>,</w:t>
      </w:r>
      <w:r w:rsidR="00122E90" w:rsidRPr="00122E90">
        <w:t xml:space="preserve"> </w:t>
      </w:r>
      <w:r w:rsidR="00F33D68">
        <w:t xml:space="preserve">ce, </w:t>
      </w:r>
      <w:r w:rsidR="00122E90">
        <w:t xml:space="preserve">sur un tronçon </w:t>
      </w:r>
      <w:r w:rsidR="00F33D68">
        <w:t xml:space="preserve">continu </w:t>
      </w:r>
      <w:r w:rsidR="00122E90">
        <w:t>de 50</w:t>
      </w:r>
      <w:r w:rsidR="00F8280F">
        <w:t xml:space="preserve"> mètres</w:t>
      </w:r>
      <w:r w:rsidR="00122E90">
        <w:t xml:space="preserve"> courants de part et d’autre de celle-ci</w:t>
      </w:r>
      <w:r w:rsidR="00286157" w:rsidRPr="00286157">
        <w:t>,</w:t>
      </w:r>
    </w:p>
    <w:p w14:paraId="25DAE268" w14:textId="6124B0F4" w:rsidR="005271C7" w:rsidRDefault="00286157" w:rsidP="00421C82">
      <w:pPr>
        <w:pStyle w:val="Paragraphedeliste"/>
      </w:pPr>
      <w:r w:rsidRPr="00286157">
        <w:t>afin de prévenir les nuisances liées au stationnement et d’assurer la sécurité des usagers</w:t>
      </w:r>
      <w:r w:rsidR="005271C7" w:rsidRPr="005271C7">
        <w:t>.</w:t>
      </w:r>
    </w:p>
    <w:bookmarkEnd w:id="0"/>
    <w:p w14:paraId="514398BE" w14:textId="761CA59A" w:rsidR="005271C7" w:rsidRPr="005271C7" w:rsidRDefault="005271C7" w:rsidP="00B914F9"/>
    <w:p w14:paraId="3AB6DF88" w14:textId="770A6D33" w:rsidR="005271C7" w:rsidRDefault="005271C7" w:rsidP="005271C7">
      <w:pPr>
        <w:rPr>
          <w:b/>
          <w:bCs/>
        </w:rPr>
      </w:pPr>
      <w:r w:rsidRPr="0011362C">
        <w:rPr>
          <w:b/>
          <w:bCs/>
        </w:rPr>
        <w:t>Article</w:t>
      </w:r>
      <w:r>
        <w:rPr>
          <w:b/>
          <w:bCs/>
        </w:rPr>
        <w:t xml:space="preserve"> 5</w:t>
      </w:r>
      <w:r w:rsidRPr="0011362C">
        <w:rPr>
          <w:b/>
          <w:bCs/>
        </w:rPr>
        <w:t xml:space="preserve"> – </w:t>
      </w:r>
      <w:r>
        <w:rPr>
          <w:b/>
          <w:bCs/>
        </w:rPr>
        <w:t>Introduction de la demande</w:t>
      </w:r>
      <w:r w:rsidRPr="0011362C">
        <w:rPr>
          <w:b/>
          <w:bCs/>
        </w:rPr>
        <w:t xml:space="preserve"> </w:t>
      </w:r>
    </w:p>
    <w:p w14:paraId="14AA38DA" w14:textId="7E4F2B92" w:rsidR="005271C7" w:rsidRPr="0011362C" w:rsidRDefault="005271C7" w:rsidP="005271C7">
      <w:r>
        <w:t>Toute demande d’autorisation préalable</w:t>
      </w:r>
      <w:r w:rsidRPr="0011362C">
        <w:t xml:space="preserve"> doit être introduite au moins 3 mois avant le début </w:t>
      </w:r>
      <w:r>
        <w:t xml:space="preserve">escompté </w:t>
      </w:r>
      <w:r w:rsidRPr="0011362C">
        <w:t>de l’activité</w:t>
      </w:r>
      <w:r>
        <w:t xml:space="preserve"> de l’établissement sur base</w:t>
      </w:r>
      <w:r w:rsidRPr="0011362C">
        <w:t xml:space="preserve"> </w:t>
      </w:r>
      <w:r>
        <w:t>d’</w:t>
      </w:r>
      <w:r w:rsidRPr="0011362C">
        <w:t xml:space="preserve">un formulaire </w:t>
      </w:r>
      <w:r>
        <w:t>arrêté</w:t>
      </w:r>
      <w:r w:rsidRPr="0011362C">
        <w:t xml:space="preserve"> par le Collège communal.</w:t>
      </w:r>
    </w:p>
    <w:p w14:paraId="67A72735" w14:textId="6AD740E5" w:rsidR="005271C7" w:rsidRPr="0011362C" w:rsidRDefault="005271C7" w:rsidP="005271C7">
      <w:r w:rsidRPr="0011362C">
        <w:t>La demande doit inclure</w:t>
      </w:r>
      <w:r>
        <w:t xml:space="preserve"> au minimum les informations suivantes</w:t>
      </w:r>
      <w:r w:rsidRPr="0011362C">
        <w:t xml:space="preserve"> :</w:t>
      </w:r>
    </w:p>
    <w:p w14:paraId="12981C3C" w14:textId="3F5CECDB" w:rsidR="005271C7" w:rsidRDefault="005271C7" w:rsidP="005271C7">
      <w:pPr>
        <w:numPr>
          <w:ilvl w:val="0"/>
          <w:numId w:val="5"/>
        </w:numPr>
      </w:pPr>
      <w:r>
        <w:t>Adresse d’implantation ;</w:t>
      </w:r>
    </w:p>
    <w:p w14:paraId="707FE690" w14:textId="1FC96060" w:rsidR="005271C7" w:rsidRDefault="005271C7" w:rsidP="005271C7">
      <w:pPr>
        <w:numPr>
          <w:ilvl w:val="0"/>
          <w:numId w:val="5"/>
        </w:numPr>
      </w:pPr>
      <w:r w:rsidRPr="0011362C">
        <w:t>Dénomination commerciale</w:t>
      </w:r>
      <w:r>
        <w:t> ;</w:t>
      </w:r>
    </w:p>
    <w:p w14:paraId="37812359" w14:textId="77777777" w:rsidR="00F461F0" w:rsidRPr="0011362C" w:rsidRDefault="00F461F0" w:rsidP="00F461F0">
      <w:pPr>
        <w:numPr>
          <w:ilvl w:val="0"/>
          <w:numId w:val="5"/>
        </w:numPr>
      </w:pPr>
      <w:r>
        <w:t>Horaires d’ouverture ;</w:t>
      </w:r>
    </w:p>
    <w:p w14:paraId="75BD0810" w14:textId="2C5EA04C" w:rsidR="005271C7" w:rsidRDefault="005271C7" w:rsidP="005271C7">
      <w:pPr>
        <w:numPr>
          <w:ilvl w:val="0"/>
          <w:numId w:val="5"/>
        </w:numPr>
      </w:pPr>
      <w:r>
        <w:t>I</w:t>
      </w:r>
      <w:r w:rsidRPr="0011362C">
        <w:t>dentité</w:t>
      </w:r>
      <w:r>
        <w:t xml:space="preserve"> complète</w:t>
      </w:r>
      <w:r w:rsidRPr="0011362C">
        <w:t xml:space="preserve"> </w:t>
      </w:r>
      <w:r>
        <w:t>de l’exploitant ;</w:t>
      </w:r>
    </w:p>
    <w:p w14:paraId="6FEB416D" w14:textId="26CDC88F" w:rsidR="005271C7" w:rsidRPr="0011362C" w:rsidRDefault="005271C7" w:rsidP="005271C7">
      <w:pPr>
        <w:numPr>
          <w:ilvl w:val="0"/>
          <w:numId w:val="5"/>
        </w:numPr>
      </w:pPr>
      <w:r w:rsidRPr="0011362C">
        <w:t>Carte professionnelle</w:t>
      </w:r>
      <w:r>
        <w:t xml:space="preserve"> de l’exploitant</w:t>
      </w:r>
      <w:r w:rsidRPr="0011362C">
        <w:t xml:space="preserve"> (si applicable)</w:t>
      </w:r>
      <w:r>
        <w:t> ;</w:t>
      </w:r>
    </w:p>
    <w:p w14:paraId="58F72454" w14:textId="647D2B34" w:rsidR="005271C7" w:rsidRPr="0011362C" w:rsidRDefault="005271C7" w:rsidP="005271C7">
      <w:pPr>
        <w:numPr>
          <w:ilvl w:val="0"/>
          <w:numId w:val="5"/>
        </w:numPr>
      </w:pPr>
      <w:r w:rsidRPr="0011362C">
        <w:t>Numéro d’entreprise</w:t>
      </w:r>
      <w:r>
        <w:t xml:space="preserve"> (provisoire) ;</w:t>
      </w:r>
    </w:p>
    <w:p w14:paraId="1C398961" w14:textId="06850ED4" w:rsidR="005271C7" w:rsidRDefault="005271C7" w:rsidP="005271C7">
      <w:pPr>
        <w:numPr>
          <w:ilvl w:val="0"/>
          <w:numId w:val="5"/>
        </w:numPr>
      </w:pPr>
      <w:r>
        <w:t>Forme juridique de l’entreprise ;</w:t>
      </w:r>
    </w:p>
    <w:p w14:paraId="59075DFF" w14:textId="2FA6AA6A" w:rsidR="005271C7" w:rsidRPr="00B914F9" w:rsidRDefault="005271C7" w:rsidP="00B914F9">
      <w:pPr>
        <w:numPr>
          <w:ilvl w:val="0"/>
          <w:numId w:val="5"/>
        </w:numPr>
      </w:pPr>
      <w:r>
        <w:t>Activités économiques de l’entreprise (codes NACE).</w:t>
      </w:r>
    </w:p>
    <w:p w14:paraId="02DE068B" w14:textId="77777777" w:rsidR="00AE3970" w:rsidRPr="006611ED" w:rsidRDefault="00AE3970" w:rsidP="00B914F9"/>
    <w:p w14:paraId="66F0A7B8" w14:textId="2590F5BD" w:rsidR="0011362C" w:rsidRPr="00D324A6" w:rsidRDefault="0011362C" w:rsidP="00D324A6">
      <w:pPr>
        <w:jc w:val="center"/>
        <w:rPr>
          <w:b/>
          <w:bCs/>
          <w:u w:val="single"/>
        </w:rPr>
      </w:pPr>
      <w:r w:rsidRPr="00D324A6">
        <w:rPr>
          <w:b/>
          <w:bCs/>
          <w:u w:val="single"/>
        </w:rPr>
        <w:t xml:space="preserve">Section </w:t>
      </w:r>
      <w:r w:rsidR="00067630">
        <w:rPr>
          <w:b/>
          <w:bCs/>
          <w:u w:val="single"/>
        </w:rPr>
        <w:t>4</w:t>
      </w:r>
      <w:r w:rsidRPr="00D324A6">
        <w:rPr>
          <w:b/>
          <w:bCs/>
          <w:u w:val="single"/>
        </w:rPr>
        <w:t xml:space="preserve"> </w:t>
      </w:r>
      <w:r w:rsidR="001C329E">
        <w:rPr>
          <w:b/>
          <w:bCs/>
          <w:u w:val="single"/>
        </w:rPr>
        <w:t>-</w:t>
      </w:r>
      <w:r w:rsidRPr="00D324A6">
        <w:rPr>
          <w:b/>
          <w:bCs/>
          <w:u w:val="single"/>
        </w:rPr>
        <w:t xml:space="preserve"> </w:t>
      </w:r>
      <w:r w:rsidR="00067630">
        <w:rPr>
          <w:b/>
          <w:bCs/>
          <w:u w:val="single"/>
        </w:rPr>
        <w:t>Conditions d’exploitation</w:t>
      </w:r>
    </w:p>
    <w:p w14:paraId="72192E78" w14:textId="1CC97E7A" w:rsidR="00067630" w:rsidRDefault="00067630" w:rsidP="00067630">
      <w:pPr>
        <w:rPr>
          <w:b/>
          <w:bCs/>
        </w:rPr>
      </w:pPr>
      <w:r w:rsidRPr="0011362C">
        <w:rPr>
          <w:b/>
          <w:bCs/>
        </w:rPr>
        <w:t xml:space="preserve">Article </w:t>
      </w:r>
      <w:r>
        <w:rPr>
          <w:b/>
          <w:bCs/>
        </w:rPr>
        <w:t>6</w:t>
      </w:r>
      <w:r w:rsidRPr="0011362C">
        <w:rPr>
          <w:b/>
          <w:bCs/>
        </w:rPr>
        <w:t xml:space="preserve"> – </w:t>
      </w:r>
      <w:r>
        <w:rPr>
          <w:b/>
          <w:bCs/>
        </w:rPr>
        <w:t>Ouverture au public</w:t>
      </w:r>
    </w:p>
    <w:p w14:paraId="73521840" w14:textId="06C4AC76" w:rsidR="005271C7" w:rsidRDefault="00067630" w:rsidP="005271C7">
      <w:r>
        <w:lastRenderedPageBreak/>
        <w:t xml:space="preserve">Conformément aux </w:t>
      </w:r>
      <w:r w:rsidR="00E27ECC">
        <w:t>R</w:t>
      </w:r>
      <w:r>
        <w:t>èglements généraux de police à l’égard de la sécurité et de la prévention des incendies, l’ouverture au public de l’établissement est soumis à l’autorisation préalable du Bourgmestre</w:t>
      </w:r>
      <w:r w:rsidR="005271C7" w:rsidRPr="006611ED">
        <w:t>.</w:t>
      </w:r>
    </w:p>
    <w:p w14:paraId="160BA8C8" w14:textId="77777777" w:rsidR="00067630" w:rsidRDefault="00067630" w:rsidP="005271C7"/>
    <w:p w14:paraId="3601ADC2" w14:textId="0D6E7B2D" w:rsidR="00E5544F" w:rsidRDefault="00E5544F" w:rsidP="00E5544F">
      <w:pPr>
        <w:rPr>
          <w:b/>
          <w:bCs/>
        </w:rPr>
      </w:pPr>
      <w:r w:rsidRPr="0011362C">
        <w:rPr>
          <w:b/>
          <w:bCs/>
        </w:rPr>
        <w:t xml:space="preserve">Article </w:t>
      </w:r>
      <w:r w:rsidR="00067630">
        <w:rPr>
          <w:b/>
          <w:bCs/>
        </w:rPr>
        <w:t>7</w:t>
      </w:r>
      <w:r w:rsidRPr="0011362C">
        <w:rPr>
          <w:b/>
          <w:bCs/>
        </w:rPr>
        <w:t xml:space="preserve"> – Affichage</w:t>
      </w:r>
      <w:r>
        <w:rPr>
          <w:b/>
          <w:bCs/>
        </w:rPr>
        <w:t xml:space="preserve"> obligatoire</w:t>
      </w:r>
    </w:p>
    <w:p w14:paraId="7973AC70" w14:textId="47EA2EAD" w:rsidR="00E5544F" w:rsidRDefault="00E5544F" w:rsidP="00E5544F">
      <w:r w:rsidRPr="0011362C">
        <w:t xml:space="preserve">Les horaires d’ouverture </w:t>
      </w:r>
      <w:r>
        <w:t>d</w:t>
      </w:r>
      <w:r w:rsidR="00AE3970">
        <w:t xml:space="preserve">e l’établissement </w:t>
      </w:r>
      <w:r w:rsidRPr="0011362C">
        <w:t xml:space="preserve">doivent être visiblement affichés </w:t>
      </w:r>
      <w:r>
        <w:t>à</w:t>
      </w:r>
      <w:r w:rsidRPr="0011362C">
        <w:t xml:space="preserve"> </w:t>
      </w:r>
      <w:r>
        <w:t>s</w:t>
      </w:r>
      <w:r w:rsidRPr="0011362C">
        <w:t>a vitrine.</w:t>
      </w:r>
    </w:p>
    <w:p w14:paraId="12A90207" w14:textId="77777777" w:rsidR="00067630" w:rsidRPr="0011362C" w:rsidRDefault="00067630" w:rsidP="00E5544F"/>
    <w:p w14:paraId="64181EE0" w14:textId="6249B71D" w:rsidR="0011362C" w:rsidRDefault="0011362C" w:rsidP="0011362C">
      <w:r w:rsidRPr="0011362C">
        <w:rPr>
          <w:b/>
          <w:bCs/>
        </w:rPr>
        <w:t xml:space="preserve">Article </w:t>
      </w:r>
      <w:r w:rsidR="00067630">
        <w:rPr>
          <w:b/>
          <w:bCs/>
        </w:rPr>
        <w:t>8</w:t>
      </w:r>
      <w:r w:rsidRPr="0011362C">
        <w:rPr>
          <w:b/>
          <w:bCs/>
        </w:rPr>
        <w:t xml:space="preserve"> – Vitrine</w:t>
      </w:r>
      <w:r w:rsidRPr="0011362C">
        <w:t xml:space="preserve"> </w:t>
      </w:r>
    </w:p>
    <w:p w14:paraId="26D9EA43" w14:textId="087D1256" w:rsidR="00466DC8" w:rsidRDefault="00466DC8" w:rsidP="00466DC8">
      <w:r>
        <w:t>La vitrine de l’établissement doit permettre un contrôle suffisant  et permanent de l’intérieur du commerce depuis l’extérieur.</w:t>
      </w:r>
    </w:p>
    <w:p w14:paraId="569DF285" w14:textId="77777777" w:rsidR="00466DC8" w:rsidRDefault="00466DC8" w:rsidP="00466DC8">
      <w:r>
        <w:t>Elle ne peut être occultée, obstruée ou recouverte de manière à empêcher la visibilité, que ce soit par des affiches, des films opaques, des rideaux ou tout autre dispositif similaire.</w:t>
      </w:r>
    </w:p>
    <w:p w14:paraId="474B14C5" w14:textId="5BE830F9" w:rsidR="00466DC8" w:rsidRDefault="00466DC8" w:rsidP="00466DC8">
      <w:r>
        <w:t>Le contrôle visuel doit permettre de distinguer l’activité principale du commerce et garantir la sécurité des lieux.</w:t>
      </w:r>
    </w:p>
    <w:p w14:paraId="5AEF83BB" w14:textId="77777777" w:rsidR="00067630" w:rsidRPr="0011362C" w:rsidRDefault="00067630" w:rsidP="0011362C"/>
    <w:p w14:paraId="74074EC2" w14:textId="23FD4926" w:rsidR="0011362C" w:rsidRDefault="0011362C" w:rsidP="0011362C">
      <w:r w:rsidRPr="0011362C">
        <w:rPr>
          <w:b/>
          <w:bCs/>
        </w:rPr>
        <w:t xml:space="preserve">Article </w:t>
      </w:r>
      <w:r w:rsidR="00896D06">
        <w:rPr>
          <w:b/>
          <w:bCs/>
        </w:rPr>
        <w:t>9</w:t>
      </w:r>
      <w:r w:rsidRPr="0011362C">
        <w:rPr>
          <w:b/>
          <w:bCs/>
        </w:rPr>
        <w:t xml:space="preserve"> – Enseigne</w:t>
      </w:r>
    </w:p>
    <w:p w14:paraId="710AC763" w14:textId="5DDFD7E2" w:rsidR="0011362C" w:rsidRDefault="0011362C" w:rsidP="0011362C">
      <w:r w:rsidRPr="0011362C">
        <w:t xml:space="preserve">L’exploitant doit </w:t>
      </w:r>
      <w:r w:rsidR="00101C7D">
        <w:t>obtenir l</w:t>
      </w:r>
      <w:r w:rsidR="0046392C">
        <w:t>e permis</w:t>
      </w:r>
      <w:r w:rsidR="00101C7D">
        <w:t xml:space="preserve"> nécessaire à la pose d</w:t>
      </w:r>
      <w:r w:rsidR="00E5544F">
        <w:t xml:space="preserve">’une </w:t>
      </w:r>
      <w:r w:rsidR="00101C7D">
        <w:t>enseigne conformément au</w:t>
      </w:r>
      <w:r w:rsidR="0046392C">
        <w:t xml:space="preserve"> </w:t>
      </w:r>
      <w:r w:rsidR="0046392C" w:rsidRPr="0046392C">
        <w:t>règlement communal sur la publicité visuelle</w:t>
      </w:r>
      <w:r w:rsidR="00101C7D">
        <w:t xml:space="preserve"> en vigueur et s’acquitter des taxes</w:t>
      </w:r>
      <w:r w:rsidR="0046392C">
        <w:t xml:space="preserve"> et redevances</w:t>
      </w:r>
      <w:r w:rsidR="00101C7D">
        <w:t xml:space="preserve"> afférentes.</w:t>
      </w:r>
    </w:p>
    <w:p w14:paraId="0E383E5C" w14:textId="77777777" w:rsidR="00067630" w:rsidRPr="0011362C" w:rsidRDefault="00067630" w:rsidP="0011362C"/>
    <w:p w14:paraId="1C90B525" w14:textId="136DC96B" w:rsidR="0011362C" w:rsidRDefault="0011362C" w:rsidP="0011362C">
      <w:r w:rsidRPr="0011362C">
        <w:rPr>
          <w:b/>
          <w:bCs/>
        </w:rPr>
        <w:t xml:space="preserve">Article </w:t>
      </w:r>
      <w:r w:rsidR="00896D06">
        <w:rPr>
          <w:b/>
          <w:bCs/>
        </w:rPr>
        <w:t>10</w:t>
      </w:r>
      <w:r w:rsidRPr="0011362C">
        <w:rPr>
          <w:b/>
          <w:bCs/>
        </w:rPr>
        <w:t xml:space="preserve"> – Entretien</w:t>
      </w:r>
      <w:r w:rsidRPr="0011362C">
        <w:t xml:space="preserve"> </w:t>
      </w:r>
    </w:p>
    <w:p w14:paraId="08C45A87" w14:textId="71FD0F27" w:rsidR="0011362C" w:rsidRDefault="00E5544F" w:rsidP="0011362C">
      <w:r>
        <w:t>L</w:t>
      </w:r>
      <w:r w:rsidR="00896D06">
        <w:t xml:space="preserve">’établissement </w:t>
      </w:r>
      <w:r w:rsidR="0011362C" w:rsidRPr="0011362C">
        <w:t xml:space="preserve">et ses abords doivent être </w:t>
      </w:r>
      <w:r w:rsidR="00C02A51">
        <w:t xml:space="preserve">maintenus en état de </w:t>
      </w:r>
      <w:r w:rsidR="0011362C" w:rsidRPr="0011362C">
        <w:t>propre</w:t>
      </w:r>
      <w:r w:rsidR="00C02A51">
        <w:t>té</w:t>
      </w:r>
      <w:r w:rsidR="0011362C" w:rsidRPr="0011362C">
        <w:t xml:space="preserve"> et</w:t>
      </w:r>
      <w:r w:rsidR="00101C7D">
        <w:t>, le cas échéant,</w:t>
      </w:r>
      <w:r w:rsidR="00C02A51">
        <w:t xml:space="preserve"> répondre</w:t>
      </w:r>
      <w:r w:rsidR="0011362C" w:rsidRPr="0011362C">
        <w:t xml:space="preserve"> aux normes d’hygiène </w:t>
      </w:r>
      <w:r w:rsidR="00101C7D">
        <w:t>prescrites par l’</w:t>
      </w:r>
      <w:r w:rsidR="0011362C" w:rsidRPr="0011362C">
        <w:t>AFSCA.</w:t>
      </w:r>
      <w:r w:rsidR="0011362C" w:rsidRPr="00D324A6">
        <w:t xml:space="preserve"> </w:t>
      </w:r>
      <w:r w:rsidR="00101C7D">
        <w:t>L’exploitant</w:t>
      </w:r>
      <w:r w:rsidR="0011362C" w:rsidRPr="00D324A6">
        <w:t xml:space="preserve"> est tenu d’entretenir la devanture de son établissement ainsi que de veiller à l’entretien du trottoir qui le borde</w:t>
      </w:r>
      <w:r w:rsidR="00101C7D">
        <w:t xml:space="preserve"> conformément aux Règlements </w:t>
      </w:r>
      <w:r w:rsidR="00896D06">
        <w:t>généraux</w:t>
      </w:r>
      <w:r w:rsidR="00101C7D">
        <w:t xml:space="preserve"> de police</w:t>
      </w:r>
      <w:r w:rsidR="0011362C" w:rsidRPr="00D324A6">
        <w:t>.</w:t>
      </w:r>
    </w:p>
    <w:p w14:paraId="5A5BF438" w14:textId="77777777" w:rsidR="00896D06" w:rsidRPr="00D324A6" w:rsidRDefault="00896D06" w:rsidP="0011362C"/>
    <w:p w14:paraId="5F4F14C9" w14:textId="2DA67AD2" w:rsidR="0028651F" w:rsidRPr="0028651F" w:rsidRDefault="0028651F" w:rsidP="00D324A6">
      <w:pPr>
        <w:jc w:val="center"/>
        <w:rPr>
          <w:b/>
          <w:bCs/>
          <w:u w:val="single"/>
        </w:rPr>
      </w:pPr>
      <w:r w:rsidRPr="00D324A6">
        <w:rPr>
          <w:b/>
          <w:bCs/>
          <w:u w:val="single"/>
        </w:rPr>
        <w:t xml:space="preserve">Section </w:t>
      </w:r>
      <w:r w:rsidR="00103778">
        <w:rPr>
          <w:b/>
          <w:bCs/>
          <w:u w:val="single"/>
        </w:rPr>
        <w:t>5</w:t>
      </w:r>
      <w:r w:rsidRPr="00D324A6">
        <w:rPr>
          <w:b/>
          <w:bCs/>
          <w:u w:val="single"/>
        </w:rPr>
        <w:t> </w:t>
      </w:r>
      <w:r w:rsidR="001C329E">
        <w:rPr>
          <w:b/>
          <w:bCs/>
          <w:u w:val="single"/>
        </w:rPr>
        <w:t>-</w:t>
      </w:r>
      <w:r w:rsidRPr="00D324A6">
        <w:rPr>
          <w:b/>
          <w:bCs/>
          <w:u w:val="single"/>
        </w:rPr>
        <w:t xml:space="preserve"> </w:t>
      </w:r>
      <w:r w:rsidRPr="0028651F">
        <w:rPr>
          <w:b/>
          <w:bCs/>
          <w:u w:val="single"/>
        </w:rPr>
        <w:t>Contrôle et sanctions</w:t>
      </w:r>
    </w:p>
    <w:p w14:paraId="4C98242C" w14:textId="66C28BC6" w:rsidR="004E2FA3" w:rsidRDefault="0028651F" w:rsidP="0028651F">
      <w:r w:rsidRPr="0028651F">
        <w:rPr>
          <w:b/>
          <w:bCs/>
        </w:rPr>
        <w:t>Article 1</w:t>
      </w:r>
      <w:r w:rsidR="00103778">
        <w:rPr>
          <w:b/>
          <w:bCs/>
        </w:rPr>
        <w:t>1</w:t>
      </w:r>
      <w:r w:rsidRPr="0028651F">
        <w:rPr>
          <w:b/>
          <w:bCs/>
        </w:rPr>
        <w:t xml:space="preserve"> – Contrôle</w:t>
      </w:r>
      <w:r w:rsidRPr="0028651F">
        <w:t xml:space="preserve"> </w:t>
      </w:r>
    </w:p>
    <w:p w14:paraId="67D7FD01" w14:textId="507921B1" w:rsidR="001E3440" w:rsidRPr="001E3440" w:rsidRDefault="000C0CE0" w:rsidP="001E3440">
      <w:r w:rsidRPr="000C0CE0">
        <w:t xml:space="preserve">Les </w:t>
      </w:r>
      <w:r w:rsidR="009C0FFB">
        <w:t>librairies-presse</w:t>
      </w:r>
      <w:r w:rsidRPr="000C0CE0">
        <w:t xml:space="preserve"> sont soumises à des contrôles périodiques ou inopinés effectués par les agents </w:t>
      </w:r>
      <w:r w:rsidR="00175D4B" w:rsidRPr="001E3440">
        <w:t xml:space="preserve">dûment </w:t>
      </w:r>
      <w:r w:rsidRPr="000C0CE0">
        <w:t>mandatés par l’administration communale.</w:t>
      </w:r>
    </w:p>
    <w:p w14:paraId="24D0135A" w14:textId="240BA7E4" w:rsidR="00A46871" w:rsidRPr="00A46871" w:rsidRDefault="001E3440" w:rsidP="001E3440">
      <w:r w:rsidRPr="001E3440">
        <w:t>Ces agents sont habilités à vérifier :</w:t>
      </w:r>
    </w:p>
    <w:p w14:paraId="5D833178" w14:textId="6FC50B23" w:rsidR="00A46871" w:rsidRPr="00A46871" w:rsidRDefault="00A46871" w:rsidP="00B914F9">
      <w:pPr>
        <w:pStyle w:val="Paragraphedeliste"/>
        <w:numPr>
          <w:ilvl w:val="0"/>
          <w:numId w:val="15"/>
        </w:numPr>
      </w:pPr>
      <w:r w:rsidRPr="00A46871">
        <w:t>le respect des dispositions du présent règlement</w:t>
      </w:r>
      <w:r>
        <w:t xml:space="preserve"> ou de tout autre règlementation communale </w:t>
      </w:r>
      <w:r w:rsidR="00682F29">
        <w:t>applicable à</w:t>
      </w:r>
      <w:r>
        <w:t xml:space="preserve"> l’établissement</w:t>
      </w:r>
      <w:r w:rsidRPr="00A46871">
        <w:t xml:space="preserve"> ;</w:t>
      </w:r>
    </w:p>
    <w:p w14:paraId="7C7F0F2C" w14:textId="75B132F6" w:rsidR="001E3440" w:rsidRDefault="003A6B37" w:rsidP="00A46871">
      <w:pPr>
        <w:pStyle w:val="Paragraphedeliste"/>
        <w:numPr>
          <w:ilvl w:val="0"/>
          <w:numId w:val="15"/>
        </w:numPr>
      </w:pPr>
      <w:r>
        <w:t xml:space="preserve">l’existence </w:t>
      </w:r>
      <w:r w:rsidR="00682F29">
        <w:t>d</w:t>
      </w:r>
      <w:r>
        <w:t xml:space="preserve">’éventuelles </w:t>
      </w:r>
      <w:r w:rsidR="00682F29">
        <w:t>autorisations</w:t>
      </w:r>
      <w:r>
        <w:t xml:space="preserve"> spécifiques</w:t>
      </w:r>
      <w:r w:rsidR="00682F29">
        <w:t xml:space="preserve"> découlant</w:t>
      </w:r>
      <w:r w:rsidR="00A46871" w:rsidRPr="00A46871">
        <w:t xml:space="preserve"> de toute</w:t>
      </w:r>
      <w:r w:rsidR="00175D4B">
        <w:t xml:space="preserve"> autre</w:t>
      </w:r>
      <w:r w:rsidR="00A46871" w:rsidRPr="00A46871">
        <w:t xml:space="preserve"> législation </w:t>
      </w:r>
      <w:r w:rsidR="00175D4B">
        <w:t xml:space="preserve">ou règlementation </w:t>
      </w:r>
      <w:r w:rsidR="00A46871" w:rsidRPr="00A46871">
        <w:t xml:space="preserve">applicable </w:t>
      </w:r>
      <w:r w:rsidR="00175D4B">
        <w:t xml:space="preserve">à l’établissement </w:t>
      </w:r>
      <w:r w:rsidR="0097279B">
        <w:t>ou</w:t>
      </w:r>
      <w:r w:rsidR="00175D4B">
        <w:t xml:space="preserve"> à ses activités économiques.</w:t>
      </w:r>
    </w:p>
    <w:p w14:paraId="4F78AD52" w14:textId="33707681" w:rsidR="00D154A3" w:rsidRDefault="00D154A3" w:rsidP="001E3440">
      <w:r>
        <w:t xml:space="preserve">Les agents </w:t>
      </w:r>
      <w:r w:rsidR="00A46871">
        <w:t>habilités</w:t>
      </w:r>
      <w:r>
        <w:t xml:space="preserve"> peuvent :</w:t>
      </w:r>
    </w:p>
    <w:p w14:paraId="639DF116" w14:textId="5E2A6C74" w:rsidR="00D154A3" w:rsidRDefault="00D154A3" w:rsidP="00B914F9">
      <w:pPr>
        <w:pStyle w:val="Paragraphedeliste"/>
        <w:numPr>
          <w:ilvl w:val="0"/>
          <w:numId w:val="11"/>
        </w:numPr>
      </w:pPr>
      <w:r>
        <w:lastRenderedPageBreak/>
        <w:t>accéder à toute partie du commerce accessible au public ;</w:t>
      </w:r>
    </w:p>
    <w:p w14:paraId="3D36D214" w14:textId="5631B3C8" w:rsidR="00D154A3" w:rsidRDefault="00D154A3" w:rsidP="00B914F9">
      <w:pPr>
        <w:pStyle w:val="Paragraphedeliste"/>
        <w:numPr>
          <w:ilvl w:val="0"/>
          <w:numId w:val="11"/>
        </w:numPr>
      </w:pPr>
      <w:r>
        <w:t>demander la production immédiate de tout document utile ;</w:t>
      </w:r>
    </w:p>
    <w:p w14:paraId="7B26111E" w14:textId="3F48AC58" w:rsidR="00D154A3" w:rsidRDefault="00D154A3" w:rsidP="00B914F9">
      <w:pPr>
        <w:pStyle w:val="Paragraphedeliste"/>
        <w:numPr>
          <w:ilvl w:val="0"/>
          <w:numId w:val="11"/>
        </w:numPr>
      </w:pPr>
      <w:r>
        <w:t>recueillir les observations de l’exploitant.</w:t>
      </w:r>
    </w:p>
    <w:p w14:paraId="7DA5C798" w14:textId="0E3B41E1" w:rsidR="00A46871" w:rsidRPr="00A46871" w:rsidRDefault="00A46871" w:rsidP="00A46871">
      <w:r w:rsidRPr="00A46871">
        <w:t xml:space="preserve">Les exploitants sont tenus de </w:t>
      </w:r>
      <w:r w:rsidRPr="00B914F9">
        <w:t>faciliter l’accès</w:t>
      </w:r>
      <w:r w:rsidRPr="00A46871">
        <w:t xml:space="preserve"> </w:t>
      </w:r>
      <w:r>
        <w:t>à leurs</w:t>
      </w:r>
      <w:r w:rsidRPr="00A46871">
        <w:t xml:space="preserve"> locaux et de fournir tout document nécessaire à la vérification.</w:t>
      </w:r>
    </w:p>
    <w:p w14:paraId="5BE70010" w14:textId="4E93453F" w:rsidR="00A46871" w:rsidRDefault="00A46871" w:rsidP="00A46871">
      <w:r w:rsidRPr="00A46871">
        <w:t xml:space="preserve">Le refus d’accès ou l’obstacle au contrôle constitue une </w:t>
      </w:r>
      <w:r w:rsidRPr="00B914F9">
        <w:t>infraction</w:t>
      </w:r>
      <w:r w:rsidRPr="00A46871">
        <w:t xml:space="preserve"> au présent règlement</w:t>
      </w:r>
      <w:r>
        <w:t>.</w:t>
      </w:r>
    </w:p>
    <w:p w14:paraId="3A6F3479" w14:textId="17AAF890" w:rsidR="001C329E" w:rsidRDefault="001E3440" w:rsidP="001E3440">
      <w:r>
        <w:t>En cas de manquement constaté, un avertissement écrit est établi et</w:t>
      </w:r>
      <w:r w:rsidRPr="001E3440">
        <w:t xml:space="preserve"> transmis </w:t>
      </w:r>
      <w:r>
        <w:t>à l’examen d</w:t>
      </w:r>
      <w:r w:rsidRPr="001E3440">
        <w:t xml:space="preserve">u </w:t>
      </w:r>
      <w:r>
        <w:t>B</w:t>
      </w:r>
      <w:r w:rsidRPr="001E3440">
        <w:t xml:space="preserve">ourgmestre ou </w:t>
      </w:r>
      <w:r>
        <w:t>de</w:t>
      </w:r>
      <w:r w:rsidRPr="001E3440">
        <w:t xml:space="preserve"> l’autorité compétente.</w:t>
      </w:r>
    </w:p>
    <w:p w14:paraId="529F4698" w14:textId="77777777" w:rsidR="001C329E" w:rsidRPr="001E3440" w:rsidRDefault="001C329E" w:rsidP="001E3440"/>
    <w:p w14:paraId="5C067BD1" w14:textId="29FCED45" w:rsidR="001C329E" w:rsidRPr="001C329E" w:rsidRDefault="001C329E" w:rsidP="001C329E">
      <w:bookmarkStart w:id="1" w:name="_Hlk211508955"/>
      <w:r w:rsidRPr="001C329E">
        <w:rPr>
          <w:b/>
          <w:bCs/>
        </w:rPr>
        <w:t>Article 1</w:t>
      </w:r>
      <w:r w:rsidR="00103778">
        <w:rPr>
          <w:b/>
          <w:bCs/>
        </w:rPr>
        <w:t>2</w:t>
      </w:r>
      <w:r w:rsidRPr="001C329E">
        <w:rPr>
          <w:b/>
          <w:bCs/>
        </w:rPr>
        <w:t xml:space="preserve"> – Mesure </w:t>
      </w:r>
      <w:r w:rsidR="00F6566D">
        <w:rPr>
          <w:b/>
          <w:bCs/>
        </w:rPr>
        <w:t>préventive</w:t>
      </w:r>
    </w:p>
    <w:p w14:paraId="7FC8FAC1" w14:textId="795F5863" w:rsidR="001C329E" w:rsidRDefault="00F6566D" w:rsidP="001C329E">
      <w:r w:rsidRPr="003C565A">
        <w:t xml:space="preserve">En application de l’article 134ter de la Nouvelle </w:t>
      </w:r>
      <w:r>
        <w:t>l</w:t>
      </w:r>
      <w:r w:rsidRPr="003C565A">
        <w:t xml:space="preserve">oi </w:t>
      </w:r>
      <w:r>
        <w:t>c</w:t>
      </w:r>
      <w:r w:rsidRPr="003C565A">
        <w:t xml:space="preserve">ommunale, le </w:t>
      </w:r>
      <w:r w:rsidR="00F461F0">
        <w:t>B</w:t>
      </w:r>
      <w:r w:rsidRPr="003C565A">
        <w:t xml:space="preserve">ourgmestre peut, </w:t>
      </w:r>
      <w:r w:rsidRPr="001C329E">
        <w:t>en cas de non-respect des conditions d'exploitation d'un établissement</w:t>
      </w:r>
      <w:r w:rsidRPr="00F6566D">
        <w:t xml:space="preserve"> </w:t>
      </w:r>
      <w:r w:rsidRPr="003C565A">
        <w:t>et lorsque tout retard causerait un dommage sérieux, prononcer la fermeture provisoire de l’établissement ou la suspension temporaire de l’autorisation pour une durée maximale de trois mois.</w:t>
      </w:r>
    </w:p>
    <w:p w14:paraId="6B5B354D" w14:textId="77777777" w:rsidR="00AF328D" w:rsidRPr="001C329E" w:rsidRDefault="00AF328D" w:rsidP="001C329E"/>
    <w:p w14:paraId="7662D3F8" w14:textId="67274B1A" w:rsidR="0099062B" w:rsidRDefault="0099062B" w:rsidP="00A46871">
      <w:r w:rsidRPr="0028651F">
        <w:rPr>
          <w:b/>
          <w:bCs/>
        </w:rPr>
        <w:t>Article 1</w:t>
      </w:r>
      <w:r w:rsidR="00103778">
        <w:rPr>
          <w:b/>
          <w:bCs/>
        </w:rPr>
        <w:t>3</w:t>
      </w:r>
      <w:r w:rsidRPr="0028651F">
        <w:rPr>
          <w:b/>
          <w:bCs/>
        </w:rPr>
        <w:t xml:space="preserve"> – </w:t>
      </w:r>
      <w:r>
        <w:rPr>
          <w:b/>
          <w:bCs/>
        </w:rPr>
        <w:t>Sanctions</w:t>
      </w:r>
      <w:r w:rsidRPr="0028651F">
        <w:t xml:space="preserve"> </w:t>
      </w:r>
    </w:p>
    <w:p w14:paraId="1E1EEC29" w14:textId="5672DB5A" w:rsidR="00426473" w:rsidRDefault="00D324A6" w:rsidP="00D324A6">
      <w:r w:rsidRPr="00D324A6">
        <w:t>S</w:t>
      </w:r>
      <w:r w:rsidR="00150322">
        <w:t>ous réserve d’autres poursuites prévues par une règlementation supérieure ou en cas d’abandon des poursuites dans ces occurrences, toutes les infractions au présent règlement sont passibles, sauf spécification particulière, de</w:t>
      </w:r>
      <w:r w:rsidR="00035398">
        <w:t>s</w:t>
      </w:r>
      <w:r w:rsidR="00150322">
        <w:t xml:space="preserve"> sanction</w:t>
      </w:r>
      <w:r w:rsidR="00035398">
        <w:t>s</w:t>
      </w:r>
      <w:r w:rsidR="00150322">
        <w:t xml:space="preserve"> administrative</w:t>
      </w:r>
      <w:r w:rsidR="00035398">
        <w:t>s prévues par la loi en vigueur relative aux sanctions administratives communales et ses arrêtés d’exécution</w:t>
      </w:r>
      <w:r w:rsidR="00150322">
        <w:t>.</w:t>
      </w:r>
      <w:r w:rsidRPr="00D324A6">
        <w:t xml:space="preserve"> </w:t>
      </w:r>
    </w:p>
    <w:bookmarkEnd w:id="1"/>
    <w:p w14:paraId="64BE48D0" w14:textId="120A93C2" w:rsidR="00150322" w:rsidRDefault="00150322" w:rsidP="004E2FA3"/>
    <w:p w14:paraId="651C56E7" w14:textId="3CF2AFAC" w:rsidR="00150322" w:rsidRPr="0028651F" w:rsidRDefault="00150322" w:rsidP="00150322">
      <w:pPr>
        <w:jc w:val="center"/>
        <w:rPr>
          <w:b/>
          <w:bCs/>
          <w:u w:val="single"/>
        </w:rPr>
      </w:pPr>
      <w:r w:rsidRPr="00D324A6">
        <w:rPr>
          <w:b/>
          <w:bCs/>
          <w:u w:val="single"/>
        </w:rPr>
        <w:t xml:space="preserve">Section </w:t>
      </w:r>
      <w:r w:rsidR="00103778">
        <w:rPr>
          <w:b/>
          <w:bCs/>
          <w:u w:val="single"/>
        </w:rPr>
        <w:t>6</w:t>
      </w:r>
      <w:r w:rsidRPr="00D324A6">
        <w:rPr>
          <w:b/>
          <w:bCs/>
          <w:u w:val="single"/>
        </w:rPr>
        <w:t> </w:t>
      </w:r>
      <w:r w:rsidR="001C329E">
        <w:rPr>
          <w:b/>
          <w:bCs/>
          <w:u w:val="single"/>
        </w:rPr>
        <w:t>-</w:t>
      </w:r>
      <w:r w:rsidRPr="00D324A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Disposition</w:t>
      </w:r>
      <w:r w:rsidR="001E689E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transitoire</w:t>
      </w:r>
      <w:r w:rsidR="001E689E">
        <w:rPr>
          <w:b/>
          <w:bCs/>
          <w:u w:val="single"/>
        </w:rPr>
        <w:t>s</w:t>
      </w:r>
    </w:p>
    <w:p w14:paraId="6BA7632E" w14:textId="77777777" w:rsidR="00150322" w:rsidRDefault="00150322" w:rsidP="004E2FA3"/>
    <w:p w14:paraId="2424CA85" w14:textId="454A284F" w:rsidR="001E3440" w:rsidRPr="00D324A6" w:rsidRDefault="001E3440" w:rsidP="001E3440">
      <w:pPr>
        <w:rPr>
          <w:b/>
          <w:bCs/>
        </w:rPr>
      </w:pPr>
      <w:r w:rsidRPr="00D324A6">
        <w:rPr>
          <w:b/>
          <w:bCs/>
        </w:rPr>
        <w:t xml:space="preserve">Article </w:t>
      </w:r>
      <w:r w:rsidR="000854EC">
        <w:rPr>
          <w:b/>
          <w:bCs/>
        </w:rPr>
        <w:t>1</w:t>
      </w:r>
      <w:r w:rsidR="00103778">
        <w:rPr>
          <w:b/>
          <w:bCs/>
        </w:rPr>
        <w:t>4</w:t>
      </w:r>
      <w:r w:rsidRPr="00D324A6">
        <w:rPr>
          <w:b/>
          <w:bCs/>
        </w:rPr>
        <w:t xml:space="preserve"> – </w:t>
      </w:r>
      <w:r w:rsidR="000854EC">
        <w:rPr>
          <w:b/>
          <w:bCs/>
        </w:rPr>
        <w:t>Délai de mise en conformité</w:t>
      </w:r>
    </w:p>
    <w:p w14:paraId="601842A2" w14:textId="48F93BD6" w:rsidR="001E3440" w:rsidRDefault="000854EC" w:rsidP="004E2FA3">
      <w:r>
        <w:t xml:space="preserve">Toute </w:t>
      </w:r>
      <w:r w:rsidR="009C0FFB">
        <w:t>librairie-presse</w:t>
      </w:r>
      <w:r>
        <w:t xml:space="preserve"> déjà en activité sur le territoire communal à la date d’entrée en vigueur du présent règlement dispose d’un délai de mise en conformité de trois mois à partir de cette date.</w:t>
      </w:r>
    </w:p>
    <w:p w14:paraId="69AC6FD2" w14:textId="77777777" w:rsidR="00EE7AEF" w:rsidRDefault="00EE7AEF"/>
    <w:p w14:paraId="2A81BD0D" w14:textId="77777777" w:rsidR="00EE7AEF" w:rsidRDefault="00EE7AEF"/>
    <w:sectPr w:rsidR="00EE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9BD"/>
    <w:multiLevelType w:val="multilevel"/>
    <w:tmpl w:val="57D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1E6E"/>
    <w:multiLevelType w:val="multilevel"/>
    <w:tmpl w:val="3D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6728"/>
    <w:multiLevelType w:val="multilevel"/>
    <w:tmpl w:val="7CA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440CA"/>
    <w:multiLevelType w:val="hybridMultilevel"/>
    <w:tmpl w:val="714AB4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7C9E"/>
    <w:multiLevelType w:val="hybridMultilevel"/>
    <w:tmpl w:val="2C9A93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D55"/>
    <w:multiLevelType w:val="multilevel"/>
    <w:tmpl w:val="644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05C41"/>
    <w:multiLevelType w:val="hybridMultilevel"/>
    <w:tmpl w:val="22464E64"/>
    <w:lvl w:ilvl="0" w:tplc="E8DAA24E">
      <w:start w:val="2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52A3DE3"/>
    <w:multiLevelType w:val="multilevel"/>
    <w:tmpl w:val="EB2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80F89"/>
    <w:multiLevelType w:val="hybridMultilevel"/>
    <w:tmpl w:val="0F5A69B8"/>
    <w:lvl w:ilvl="0" w:tplc="A658122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0ACB"/>
    <w:multiLevelType w:val="hybridMultilevel"/>
    <w:tmpl w:val="B5DE85D8"/>
    <w:lvl w:ilvl="0" w:tplc="FBEAFDA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6446E"/>
    <w:multiLevelType w:val="hybridMultilevel"/>
    <w:tmpl w:val="FABA691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251BC"/>
    <w:multiLevelType w:val="multilevel"/>
    <w:tmpl w:val="D88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130FE"/>
    <w:multiLevelType w:val="hybridMultilevel"/>
    <w:tmpl w:val="65E6A8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A5565"/>
    <w:multiLevelType w:val="hybridMultilevel"/>
    <w:tmpl w:val="9724D10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21E19"/>
    <w:multiLevelType w:val="multilevel"/>
    <w:tmpl w:val="A6F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677A8"/>
    <w:multiLevelType w:val="hybridMultilevel"/>
    <w:tmpl w:val="983EFC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03E"/>
    <w:multiLevelType w:val="hybridMultilevel"/>
    <w:tmpl w:val="9424BAF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5095">
    <w:abstractNumId w:val="8"/>
  </w:num>
  <w:num w:numId="2" w16cid:durableId="352072719">
    <w:abstractNumId w:val="6"/>
  </w:num>
  <w:num w:numId="3" w16cid:durableId="1861695288">
    <w:abstractNumId w:val="11"/>
  </w:num>
  <w:num w:numId="4" w16cid:durableId="1611936930">
    <w:abstractNumId w:val="14"/>
  </w:num>
  <w:num w:numId="5" w16cid:durableId="1814056879">
    <w:abstractNumId w:val="2"/>
  </w:num>
  <w:num w:numId="6" w16cid:durableId="441918334">
    <w:abstractNumId w:val="1"/>
  </w:num>
  <w:num w:numId="7" w16cid:durableId="1875730030">
    <w:abstractNumId w:val="0"/>
  </w:num>
  <w:num w:numId="8" w16cid:durableId="415056820">
    <w:abstractNumId w:val="5"/>
  </w:num>
  <w:num w:numId="9" w16cid:durableId="1885558850">
    <w:abstractNumId w:val="3"/>
  </w:num>
  <w:num w:numId="10" w16cid:durableId="2006204614">
    <w:abstractNumId w:val="9"/>
  </w:num>
  <w:num w:numId="11" w16cid:durableId="825512459">
    <w:abstractNumId w:val="4"/>
  </w:num>
  <w:num w:numId="12" w16cid:durableId="387611095">
    <w:abstractNumId w:val="10"/>
  </w:num>
  <w:num w:numId="13" w16cid:durableId="1762214631">
    <w:abstractNumId w:val="12"/>
  </w:num>
  <w:num w:numId="14" w16cid:durableId="1890606397">
    <w:abstractNumId w:val="16"/>
  </w:num>
  <w:num w:numId="15" w16cid:durableId="1491294045">
    <w:abstractNumId w:val="15"/>
  </w:num>
  <w:num w:numId="16" w16cid:durableId="1564834722">
    <w:abstractNumId w:val="13"/>
  </w:num>
  <w:num w:numId="17" w16cid:durableId="1497378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1C"/>
    <w:rsid w:val="00035398"/>
    <w:rsid w:val="00067630"/>
    <w:rsid w:val="00071301"/>
    <w:rsid w:val="000854EC"/>
    <w:rsid w:val="00093721"/>
    <w:rsid w:val="000A67C7"/>
    <w:rsid w:val="000B1038"/>
    <w:rsid w:val="000B311C"/>
    <w:rsid w:val="000C0CE0"/>
    <w:rsid w:val="00101C7D"/>
    <w:rsid w:val="00103778"/>
    <w:rsid w:val="00110A3F"/>
    <w:rsid w:val="0011362C"/>
    <w:rsid w:val="00122E90"/>
    <w:rsid w:val="00147B84"/>
    <w:rsid w:val="00150322"/>
    <w:rsid w:val="00160494"/>
    <w:rsid w:val="00167640"/>
    <w:rsid w:val="00175D4B"/>
    <w:rsid w:val="00196269"/>
    <w:rsid w:val="001C09FC"/>
    <w:rsid w:val="001C329E"/>
    <w:rsid w:val="001E3440"/>
    <w:rsid w:val="001E689E"/>
    <w:rsid w:val="002078C6"/>
    <w:rsid w:val="002414E1"/>
    <w:rsid w:val="00275754"/>
    <w:rsid w:val="00275828"/>
    <w:rsid w:val="00286157"/>
    <w:rsid w:val="0028651F"/>
    <w:rsid w:val="00293225"/>
    <w:rsid w:val="002C0A94"/>
    <w:rsid w:val="00304F25"/>
    <w:rsid w:val="00305E16"/>
    <w:rsid w:val="00316D64"/>
    <w:rsid w:val="003318BD"/>
    <w:rsid w:val="00372A88"/>
    <w:rsid w:val="00373725"/>
    <w:rsid w:val="00376305"/>
    <w:rsid w:val="003A0467"/>
    <w:rsid w:val="003A6B37"/>
    <w:rsid w:val="003C565A"/>
    <w:rsid w:val="003E7B40"/>
    <w:rsid w:val="00421C82"/>
    <w:rsid w:val="00426473"/>
    <w:rsid w:val="00441D57"/>
    <w:rsid w:val="0046392C"/>
    <w:rsid w:val="00465440"/>
    <w:rsid w:val="00466DC8"/>
    <w:rsid w:val="0048627C"/>
    <w:rsid w:val="004B461F"/>
    <w:rsid w:val="004B7087"/>
    <w:rsid w:val="004C5A07"/>
    <w:rsid w:val="004D07BC"/>
    <w:rsid w:val="004E2FA3"/>
    <w:rsid w:val="004F2F78"/>
    <w:rsid w:val="005271C7"/>
    <w:rsid w:val="005A33F5"/>
    <w:rsid w:val="005E16D5"/>
    <w:rsid w:val="00626561"/>
    <w:rsid w:val="006611ED"/>
    <w:rsid w:val="006663C9"/>
    <w:rsid w:val="0067367D"/>
    <w:rsid w:val="00682F29"/>
    <w:rsid w:val="006C0F1C"/>
    <w:rsid w:val="006D34AA"/>
    <w:rsid w:val="006E386C"/>
    <w:rsid w:val="0070444F"/>
    <w:rsid w:val="00730355"/>
    <w:rsid w:val="00750774"/>
    <w:rsid w:val="007D7F94"/>
    <w:rsid w:val="007E3E32"/>
    <w:rsid w:val="008714CF"/>
    <w:rsid w:val="00871763"/>
    <w:rsid w:val="00896D06"/>
    <w:rsid w:val="008D63EC"/>
    <w:rsid w:val="0091316E"/>
    <w:rsid w:val="00937B50"/>
    <w:rsid w:val="0097279B"/>
    <w:rsid w:val="00985CCA"/>
    <w:rsid w:val="0099062B"/>
    <w:rsid w:val="009B0E5C"/>
    <w:rsid w:val="009B4B62"/>
    <w:rsid w:val="009B563B"/>
    <w:rsid w:val="009C0FFB"/>
    <w:rsid w:val="009C7B5F"/>
    <w:rsid w:val="009D0B3B"/>
    <w:rsid w:val="009D6AEF"/>
    <w:rsid w:val="009E5478"/>
    <w:rsid w:val="00A359E6"/>
    <w:rsid w:val="00A46871"/>
    <w:rsid w:val="00A6433D"/>
    <w:rsid w:val="00A67680"/>
    <w:rsid w:val="00A8767D"/>
    <w:rsid w:val="00A915EB"/>
    <w:rsid w:val="00AA5070"/>
    <w:rsid w:val="00AD7EF0"/>
    <w:rsid w:val="00AE3970"/>
    <w:rsid w:val="00AE4FD9"/>
    <w:rsid w:val="00AF328D"/>
    <w:rsid w:val="00B378D9"/>
    <w:rsid w:val="00B41F06"/>
    <w:rsid w:val="00B63F04"/>
    <w:rsid w:val="00B86779"/>
    <w:rsid w:val="00B914F9"/>
    <w:rsid w:val="00B96143"/>
    <w:rsid w:val="00B961B3"/>
    <w:rsid w:val="00BE76E1"/>
    <w:rsid w:val="00C02A51"/>
    <w:rsid w:val="00C13353"/>
    <w:rsid w:val="00C231C3"/>
    <w:rsid w:val="00C54184"/>
    <w:rsid w:val="00C628F9"/>
    <w:rsid w:val="00C83E45"/>
    <w:rsid w:val="00C87719"/>
    <w:rsid w:val="00CA319C"/>
    <w:rsid w:val="00CE7B44"/>
    <w:rsid w:val="00D154A3"/>
    <w:rsid w:val="00D26BAA"/>
    <w:rsid w:val="00D324A6"/>
    <w:rsid w:val="00D327AD"/>
    <w:rsid w:val="00D8143E"/>
    <w:rsid w:val="00DA5BC6"/>
    <w:rsid w:val="00DC3295"/>
    <w:rsid w:val="00DE25D7"/>
    <w:rsid w:val="00E27ECC"/>
    <w:rsid w:val="00E5544F"/>
    <w:rsid w:val="00E96CCE"/>
    <w:rsid w:val="00ED3584"/>
    <w:rsid w:val="00EE7AEF"/>
    <w:rsid w:val="00EF35D9"/>
    <w:rsid w:val="00F063C0"/>
    <w:rsid w:val="00F07245"/>
    <w:rsid w:val="00F218A0"/>
    <w:rsid w:val="00F33D68"/>
    <w:rsid w:val="00F461F0"/>
    <w:rsid w:val="00F4689C"/>
    <w:rsid w:val="00F6566D"/>
    <w:rsid w:val="00F8280F"/>
    <w:rsid w:val="00F91B12"/>
    <w:rsid w:val="00F946A3"/>
    <w:rsid w:val="00F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5A88"/>
  <w15:chartTrackingRefBased/>
  <w15:docId w15:val="{2B6E14F6-C6F8-49ED-BC67-489AF9C6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31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31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31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3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31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311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311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31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31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31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31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3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3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311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31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311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311C"/>
    <w:rPr>
      <w:b/>
      <w:bCs/>
      <w:smallCaps/>
      <w:color w:val="2E74B5" w:themeColor="accent1" w:themeShade="BF"/>
      <w:spacing w:val="5"/>
    </w:rPr>
  </w:style>
  <w:style w:type="paragraph" w:styleId="Rvision">
    <w:name w:val="Revision"/>
    <w:hidden/>
    <w:uiPriority w:val="99"/>
    <w:semiHidden/>
    <w:rsid w:val="00AD7E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218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18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18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8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8A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264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64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61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4903-57DA-4E32-826F-42A17F64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VIEILVOYE Frédéric</dc:creator>
  <cp:keywords/>
  <dc:description/>
  <cp:lastModifiedBy>WOLFS Maïté</cp:lastModifiedBy>
  <cp:revision>5</cp:revision>
  <cp:lastPrinted>2025-12-09T10:29:00Z</cp:lastPrinted>
  <dcterms:created xsi:type="dcterms:W3CDTF">2025-12-12T08:34:00Z</dcterms:created>
  <dcterms:modified xsi:type="dcterms:W3CDTF">2026-01-12T14:58:00Z</dcterms:modified>
</cp:coreProperties>
</file>